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10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276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A definição, fiscalização e aplicação de penalidades relativas ao uso de equipamentos de mobilidade individual autopropelidos, especialmente aqueles equiparáveis a autopropelidos ou motocicletas, no âmbito do Município de Franco da Rocha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firstLine="1701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</w:rPr>
        <w:t xml:space="preserve">Esta Lei dispõe sobre a definição, fiscalização, controle e aplicação de penalidades relativas ao uso de equipamentos de mobilidade individual autopropelidos no território do Município de Franco da Rocha, em complemento à legislação municipal de ci</w:t>
      </w:r>
      <w:r>
        <w:rPr>
          <w:rFonts w:ascii="Arial" w:hAnsi="Arial" w:eastAsia="Arial" w:cs="Arial"/>
        </w:rPr>
        <w:t xml:space="preserve">rculação urbana e às normas gerais de trânsito.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</w:t>
      </w:r>
      <w:r>
        <w:rPr>
          <w:rFonts w:ascii="Arial" w:hAnsi="Arial" w:eastAsia="Arial" w:cs="Arial"/>
          <w:sz w:val="24"/>
          <w:szCs w:val="24"/>
        </w:rPr>
        <w:t xml:space="preserve"> Para os fins desta Lei, considera-se: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20188E9">
      <w:pPr>
        <w:pBdr/>
        <w:spacing w:line="360" w:lineRule="auto"/>
        <w:ind w:firstLine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62A3CF4D">
      <w:pPr>
        <w:pBdr/>
        <w:spacing w:line="276" w:lineRule="auto"/>
        <w:ind w:firstLine="1701"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– Equipamento de mobilidade individual autopropelido: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veículo dotado de uma ou mais rodas, provido de motor de propulsão elétrica com potência nominal máxima de até 1.000 W (mil watts), velocidade máxima de fabricação não superior a 32 km/h (trinta e doi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s quilômetros por hora), largura máxima de 70 cm (setenta centímetros) e distância entre eixos de até 130 cm (cento e trinta centímetros);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 w14:paraId="1E6784CE">
      <w:pPr>
        <w:pBdr/>
        <w:spacing w:line="276" w:lineRule="auto"/>
        <w:ind w:firstLine="1701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009CF117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</w:t>
      </w:r>
      <w:r>
        <w:rPr>
          <w:rFonts w:ascii="Arial" w:hAnsi="Arial" w:eastAsia="Arial" w:cs="Arial"/>
          <w:sz w:val="24"/>
          <w:szCs w:val="24"/>
        </w:rPr>
        <w:t xml:space="preserve"> – Equipamento de mobilidade individual autopropelido equiparável a motoneta ou motocicleta: aquele que, além das características previstas no inciso I, possua assento fixo, acelerador manual, posição de condução sentada ou montada e dinâmica de condução</w:t>
      </w:r>
      <w:r>
        <w:rPr>
          <w:rFonts w:ascii="Arial" w:hAnsi="Arial" w:eastAsia="Arial" w:cs="Arial"/>
          <w:sz w:val="24"/>
          <w:szCs w:val="24"/>
        </w:rPr>
        <w:t xml:space="preserve"> similar à de motonetas ou motocicletas;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107BFAE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8266451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</w:t>
      </w:r>
      <w:r>
        <w:rPr>
          <w:rFonts w:ascii="Arial" w:hAnsi="Arial" w:eastAsia="Arial" w:cs="Arial"/>
          <w:sz w:val="24"/>
          <w:szCs w:val="24"/>
        </w:rPr>
        <w:t xml:space="preserve">I – Bicicleta elétrica: veículo de propulsão humana dotado de motor auxiliar elétrico, cujo funcionamento dependa exclusivamente do ato de pedalar, sendo vedado o uso de acelerador manual, observados os limites de potência e velocidade estabelecidos em n</w:t>
      </w:r>
      <w:r>
        <w:rPr>
          <w:rFonts w:ascii="Arial" w:hAnsi="Arial" w:eastAsia="Arial" w:cs="Arial"/>
          <w:sz w:val="24"/>
          <w:szCs w:val="24"/>
        </w:rPr>
        <w:t xml:space="preserve">orma federal.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BE77D7B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53F5B63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Parágrafo único. Aplica-se subsidiariamente a esta Lei o disposto na Resolução CONTRAN nº 996, de 15 de junho de 2023, ou outra que venha a substituí-la.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76" w:lineRule="auto"/>
        <w:ind w:firstLine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eastAsia="Arial" w:cs="Arial"/>
          <w:sz w:val="24"/>
          <w:szCs w:val="24"/>
        </w:rPr>
        <w:t xml:space="preserve">A idade mínima de 16 (dezesseis) anos será exigida exclusivamente para a condução de equipamentos de mobilidade individual autopropelidos equiparáveis a motonetas ou motocicletas.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1597D106">
      <w:pPr>
        <w:pBdr/>
        <w:spacing w:line="276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8C6E9CE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none"/>
        </w:rPr>
        <w:t xml:space="preserve">Art. 4º </w:t>
      </w:r>
      <w:r>
        <w:rPr>
          <w:rFonts w:ascii="Arial" w:hAnsi="Arial" w:eastAsia="Arial" w:cs="Arial"/>
          <w:sz w:val="24"/>
          <w:szCs w:val="24"/>
        </w:rPr>
        <w:t xml:space="preserve">Os equipamentos de mobilidade individual autopropelidos equiparáveis a motonetas ou motocicletas deverão, obrigatoriamente, dispor de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9B11582">
      <w:pPr>
        <w:pBdr/>
        <w:spacing w:line="276" w:lineRule="auto"/>
        <w:ind w:firstLine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76BC014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</w:t>
      </w:r>
      <w:r>
        <w:rPr>
          <w:rFonts w:ascii="Arial" w:hAnsi="Arial" w:eastAsia="Arial" w:cs="Arial"/>
          <w:sz w:val="24"/>
          <w:szCs w:val="24"/>
        </w:rPr>
        <w:t xml:space="preserve"> – Farol dianteiro acionado durante todo o período de circulação;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3F8771B">
      <w:pPr>
        <w:pBdr/>
        <w:spacing w:line="276" w:lineRule="auto"/>
        <w:ind w:firstLine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0E9E0654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II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–</w:t>
      </w:r>
      <w:r>
        <w:rPr>
          <w:rFonts w:ascii="Arial" w:hAnsi="Arial" w:eastAsia="Arial" w:cs="Arial"/>
          <w:sz w:val="24"/>
          <w:szCs w:val="24"/>
        </w:rPr>
        <w:t xml:space="preserve"> Sinalização luminosa traseira;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DF3E591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79B73C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III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 Sistema de indicação de mudança de direção por meio de setas luminosas;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B2259B2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43F054E">
      <w:pPr>
        <w:pBdr/>
        <w:spacing w:line="276" w:lineRule="auto"/>
        <w:ind w:firstLine="1701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IV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 – </w:t>
      </w:r>
      <w:r>
        <w:rPr>
          <w:rFonts w:ascii="Arial" w:hAnsi="Arial" w:eastAsia="Arial" w:cs="Arial"/>
          <w:color w:val="000000"/>
          <w:sz w:val="24"/>
        </w:rPr>
        <w:t xml:space="preserve">Limitador de velocidade compatível com o limite máximo estabelecido nesta Lei.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F76C750">
      <w:pPr>
        <w:pBdr/>
        <w:spacing w:line="276" w:lineRule="auto"/>
        <w:ind w:firstLine="1701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C34EC51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Art. 5º</w:t>
      </w:r>
      <w:r>
        <w:rPr>
          <w:rFonts w:ascii="Arial" w:hAnsi="Arial" w:eastAsia="Arial" w:cs="Arial"/>
          <w:sz w:val="24"/>
          <w:szCs w:val="24"/>
        </w:rPr>
        <w:t xml:space="preserve"> É obrigatório o uso de capacete de segurança pelos condutores de equipamentos de mobilidade individual autopropelidos equiparáveis a motonetas ou motocicletas.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C89F7B1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FB918F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Art 6º </w:t>
      </w:r>
      <w:r>
        <w:rPr>
          <w:rFonts w:ascii="Arial" w:hAnsi="Arial" w:eastAsia="Arial" w:cs="Arial"/>
          <w:sz w:val="24"/>
          <w:szCs w:val="24"/>
        </w:rPr>
        <w:t xml:space="preserve">Compete à fiscalização do cumprimento desta Lei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35615ED">
      <w:pPr>
        <w:pBdr/>
        <w:spacing w:line="276" w:lineRule="auto"/>
        <w:ind w:firstLine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48073156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 </w:t>
      </w:r>
      <w:r>
        <w:rPr>
          <w:rFonts w:ascii="Arial" w:hAnsi="Arial" w:eastAsia="Arial" w:cs="Arial"/>
          <w:sz w:val="24"/>
          <w:szCs w:val="24"/>
        </w:rPr>
        <w:t xml:space="preserve">– Aos agentes de trânsito municipais, quando existentes;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7901C1C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D44B91B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 </w:t>
      </w:r>
      <w:r>
        <w:rPr>
          <w:rFonts w:ascii="Arial" w:hAnsi="Arial" w:eastAsia="Arial" w:cs="Arial"/>
          <w:sz w:val="24"/>
          <w:szCs w:val="24"/>
        </w:rPr>
        <w:t xml:space="preserve">– Aos agentes de ordem pública ou fiscais designados pelo Poder Executivo Municipal;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FA00D92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877DD87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III </w:t>
      </w:r>
      <w:r>
        <w:rPr>
          <w:rFonts w:ascii="Arial" w:hAnsi="Arial" w:eastAsia="Arial" w:cs="Arial"/>
          <w:sz w:val="24"/>
          <w:szCs w:val="24"/>
        </w:rPr>
        <w:t xml:space="preserve">– À Guarda Civil Municipal, no âmbito de suas atribuições legais.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BBEA04B">
      <w:pPr>
        <w:pBdr/>
        <w:spacing w:line="276" w:lineRule="auto"/>
        <w:ind w:firstLine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5647846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Art. 7º</w:t>
      </w:r>
      <w:r>
        <w:rPr>
          <w:rFonts w:ascii="Arial" w:hAnsi="Arial" w:eastAsia="Arial" w:cs="Arial"/>
          <w:sz w:val="24"/>
          <w:szCs w:val="24"/>
        </w:rPr>
        <w:t xml:space="preserve"> Constatada infração às disposições desta Lei, o agente fiscalizador lavrará auto de infração, do qual deverão constar a identificação do condutor, do equipamento e da conduta infracional.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356B8B9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808020B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Art. 8º</w:t>
      </w:r>
      <w:r>
        <w:rPr>
          <w:rFonts w:ascii="Arial" w:hAnsi="Arial" w:eastAsia="Arial" w:cs="Arial"/>
          <w:sz w:val="24"/>
          <w:szCs w:val="24"/>
        </w:rPr>
        <w:t xml:space="preserve"> O descumprimento das disposições desta Lei sujeitará o infrator às seguintes penalidades administrativas, nos termos de regulamento: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2C281C1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5095992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</w:t>
      </w:r>
      <w:r>
        <w:rPr>
          <w:rFonts w:ascii="Arial" w:hAnsi="Arial" w:eastAsia="Arial" w:cs="Arial"/>
          <w:sz w:val="24"/>
          <w:szCs w:val="24"/>
        </w:rPr>
        <w:t xml:space="preserve"> – Multa administrativa;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9F9487C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E49BD8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 </w:t>
      </w:r>
      <w:r>
        <w:rPr>
          <w:rFonts w:ascii="Arial" w:hAnsi="Arial" w:eastAsia="Arial" w:cs="Arial"/>
          <w:sz w:val="24"/>
          <w:szCs w:val="24"/>
        </w:rPr>
        <w:t xml:space="preserve">– Apreensão temporária do equipamento, até a regularização da infração.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713E075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3FCDC9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§1º A multa administrativa será aplicada, especialmente, nos casos de: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B35CCF2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B8CCE9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a) condução sem o uso de capacete, quando obrigatóri</w:t>
      </w:r>
      <w:r>
        <w:rPr>
          <w:rFonts w:ascii="Arial" w:hAnsi="Arial" w:eastAsia="Arial" w:cs="Arial"/>
          <w:sz w:val="24"/>
          <w:szCs w:val="24"/>
        </w:rPr>
        <w:t xml:space="preserve">o;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28442CF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6E6A671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b) excesso de velocidade;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63ECB77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C993842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c) ausên</w:t>
      </w:r>
      <w:r>
        <w:rPr>
          <w:rFonts w:ascii="Arial" w:hAnsi="Arial" w:eastAsia="Arial" w:cs="Arial"/>
          <w:sz w:val="24"/>
          <w:szCs w:val="24"/>
        </w:rPr>
        <w:t xml:space="preserve">cia, defeito ou uso inadequado de farol, sinalização luminosa e/ou setas indicadoras de direç</w:t>
      </w:r>
      <w:r>
        <w:rPr>
          <w:rFonts w:ascii="Arial" w:hAnsi="Arial" w:eastAsia="Arial" w:cs="Arial"/>
          <w:sz w:val="24"/>
          <w:szCs w:val="24"/>
        </w:rPr>
        <w:t xml:space="preserve">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CC27CB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AFDF81D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§2º As penalidades poderão ser aplicadas de forma isolada ou cumulativa, observados a gravidade da</w:t>
      </w:r>
      <w:r>
        <w:rPr>
          <w:rFonts w:ascii="Arial" w:hAnsi="Arial" w:eastAsia="Arial" w:cs="Arial"/>
          <w:sz w:val="24"/>
          <w:szCs w:val="24"/>
        </w:rPr>
        <w:t xml:space="preserve"> infração e a reincidência.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CEA1A3F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95D39D2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Art. 9º</w:t>
      </w:r>
      <w:r>
        <w:rPr>
          <w:rFonts w:ascii="Arial" w:hAnsi="Arial" w:eastAsia="Arial" w:cs="Arial"/>
          <w:sz w:val="24"/>
          <w:szCs w:val="24"/>
        </w:rPr>
        <w:t xml:space="preserve"> O equipamento apreendido será encaminhado a local designado pelo Município de Franco da Rocha, ficando sua restituição condicionada: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5EA63E2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43D639E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 </w:t>
      </w:r>
      <w:r>
        <w:rPr>
          <w:rFonts w:ascii="Arial" w:hAnsi="Arial" w:eastAsia="Arial" w:cs="Arial"/>
          <w:sz w:val="24"/>
          <w:szCs w:val="24"/>
        </w:rPr>
        <w:t xml:space="preserve">– À regularização da infração;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9DF51B5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291D689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 </w:t>
      </w:r>
      <w:r>
        <w:rPr>
          <w:rFonts w:ascii="Arial" w:hAnsi="Arial" w:eastAsia="Arial" w:cs="Arial"/>
          <w:sz w:val="24"/>
          <w:szCs w:val="24"/>
        </w:rPr>
        <w:t xml:space="preserve">– Ao pagamento da multa aplicada;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299CBB8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F309368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III </w:t>
      </w:r>
      <w:r>
        <w:rPr>
          <w:rFonts w:ascii="Arial" w:hAnsi="Arial" w:eastAsia="Arial" w:cs="Arial"/>
          <w:sz w:val="24"/>
          <w:szCs w:val="24"/>
        </w:rPr>
        <w:t xml:space="preserve">– À comprovação de propriedade ou posse legítima.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92FE2A0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C09080C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Art. 10º</w:t>
      </w:r>
      <w:r>
        <w:rPr>
          <w:rFonts w:ascii="Arial" w:hAnsi="Arial" w:eastAsia="Arial" w:cs="Arial"/>
          <w:sz w:val="24"/>
          <w:szCs w:val="24"/>
        </w:rPr>
        <w:t xml:space="preserve"> Será </w:t>
      </w:r>
      <w:r>
        <w:rPr>
          <w:rFonts w:ascii="Arial" w:hAnsi="Arial" w:eastAsia="Arial" w:cs="Arial"/>
          <w:sz w:val="24"/>
          <w:szCs w:val="24"/>
        </w:rPr>
        <w:t xml:space="preserve">assegurado </w:t>
      </w:r>
      <w:r>
        <w:rPr>
          <w:rFonts w:ascii="Arial" w:hAnsi="Arial" w:eastAsia="Arial" w:cs="Arial"/>
          <w:sz w:val="24"/>
          <w:szCs w:val="24"/>
        </w:rPr>
        <w:t xml:space="preserve">ao infrator o direito ao contraditório e à ampla defesa, nos prazos e termos definidos em regulamento.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A299F79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4AC096D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Art. 11º.</w:t>
      </w:r>
      <w:r>
        <w:rPr>
          <w:rFonts w:ascii="Arial" w:hAnsi="Arial" w:eastAsia="Arial" w:cs="Arial"/>
          <w:sz w:val="24"/>
          <w:szCs w:val="24"/>
        </w:rPr>
        <w:t xml:space="preserve"> Os valores arrecadados com as multas administrativas deverão ser preferencialmente destinados a ações de educação para o trânsito, mobilidade urbana e segurança viária no Município de Franco da Rocha.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C5D293F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5C81F2C">
      <w:pPr>
        <w:pBdr/>
        <w:spacing w:line="276" w:lineRule="auto"/>
        <w:ind w:firstLine="1701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Art. 12º</w:t>
      </w:r>
      <w:r>
        <w:rPr>
          <w:rFonts w:ascii="Arial" w:hAnsi="Arial" w:eastAsia="Arial" w:cs="Arial"/>
          <w:sz w:val="24"/>
          <w:szCs w:val="24"/>
        </w:rPr>
        <w:t xml:space="preserve"> O Poder Executivo regulamentará esta Lei no que couber.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2026-02-02T14:12:00Z</dcterms:created>
  <dcterms:modified xsi:type="dcterms:W3CDTF">2026-02-23T15:11:13Z</dcterms:modified>
</cp:coreProperties>
</file>