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PROJETO DE LEI 14 / 2026</w:t>
      </w:r>
      <w:r/>
    </w:p>
    <w:p>
      <w:pPr>
        <w:pBdr/>
        <w:spacing/>
        <w:ind/>
        <w:rPr/>
      </w:pPr>
      <w:r/>
      <w:r/>
    </w:p>
    <w:p w14:paraId="5CD90937" w14:textId="77777777">
      <w:pPr>
        <w:pBdr/>
        <w:shd w:val="clear" w:color="auto" w:fill="ffffff"/>
        <w:spacing/>
        <w:ind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eastAsia="pt-BR"/>
        </w:rPr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eastAsia="pt-BR"/>
        </w:rPr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eastAsia="pt-BR"/>
        </w:rPr>
      </w:r>
    </w:p>
    <w:p w14:paraId="5682CDE7">
      <w:pPr>
        <w:pBdr/>
        <w:shd w:val="clear" w:color="auto" w:fill="ffffff"/>
        <w:spacing/>
        <w:ind w:left="2410"/>
        <w:jc w:val="left"/>
        <w:rPr>
          <w:rFonts w:ascii="Arial" w:hAnsi="Arial" w:cs="Arial"/>
          <w:color w:val="000000"/>
          <w:sz w:val="21"/>
          <w:szCs w:val="21"/>
          <w:lang w:eastAsia="pt-BR"/>
        </w:rPr>
      </w:pP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</w:p>
    <w:p w14:paraId="34A760F5">
      <w:pPr>
        <w:pBdr/>
        <w:shd w:val="clear" w:color="auto" w:fill="ffffff"/>
        <w:spacing/>
        <w:ind w:left="2410"/>
        <w:jc w:val="left"/>
        <w:rPr>
          <w:rFonts w:ascii="Arial" w:hAnsi="Arial" w:cs="Arial"/>
          <w:color w:val="000000"/>
          <w:sz w:val="21"/>
          <w:szCs w:val="21"/>
          <w:lang w:eastAsia="pt-BR"/>
        </w:rPr>
      </w:pP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</w:p>
    <w:p w14:paraId="71A4BEF3" w14:textId="77777777">
      <w:pPr>
        <w:pBdr/>
        <w:shd w:val="clear" w:color="auto" w:fill="ffffff"/>
        <w:spacing/>
        <w:ind w:left="2410"/>
        <w:jc w:val="left"/>
        <w:rPr>
          <w:rFonts w:ascii="Arial" w:hAnsi="Arial" w:cs="Arial"/>
          <w:color w:val="000000"/>
          <w:sz w:val="21"/>
          <w:szCs w:val="21"/>
          <w:lang w:eastAsia="pt-BR"/>
        </w:rPr>
      </w:pP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  <w:r>
        <w:rPr>
          <w:rFonts w:ascii="Arial" w:hAnsi="Arial" w:cs="Arial"/>
          <w:color w:val="000000"/>
          <w:sz w:val="21"/>
          <w:szCs w:val="21"/>
          <w:lang w:eastAsia="pt-BR"/>
        </w:rPr>
      </w:r>
    </w:p>
    <w:p w14:paraId="583E7367" w14:textId="0A04BC4E">
      <w:pPr>
        <w:pBdr/>
        <w:shd w:val="clear" w:color="auto" w:fill="ffffff"/>
        <w:spacing/>
        <w:ind w:left="1418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DISPÕE SOBRE: “A REGULAMENTAÇÃO DO SUPRIMENTO DE FUNDOS PARA COMPRAS DE PEQUENO VULTO E PRESTAÇÕES DE SERVIÇOS DE PRONTO PAGAMENTO, PREVISTA NO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§2º DO ART. 95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DA LEI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FEDERAL Nº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14.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133, DE 1º DE ABRIL DE 2021 E DÁ OUTRAS PROVIDÊ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NCIAS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”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.</w:t>
      </w:r>
      <w:r>
        <w:rPr>
          <w:rFonts w:ascii="Arial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 </w:t>
      </w:r>
      <w:r>
        <w:rPr>
          <w:rFonts w:ascii="Arial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</w:p>
    <w:p w14:paraId="6EDE0B76" w14:textId="77777777">
      <w:pPr>
        <w:pBdr/>
        <w:spacing w:line="200" w:lineRule="atLeast"/>
        <w:ind w:firstLine="1418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MESA DA CÂMARA MUNICIPAL DE FRANCO DA ROCHA</w:t>
      </w:r>
      <w:r>
        <w:rPr>
          <w:rFonts w:ascii="Arial" w:hAnsi="Arial" w:cs="Arial"/>
          <w:bCs/>
          <w:iCs/>
          <w:sz w:val="24"/>
          <w:szCs w:val="24"/>
        </w:rPr>
        <w:t xml:space="preserve">, Estado de São Paulo, no uso das atribuições que a lei lhe confere, faz saber que o solene plenário aprova e a Sra. Prefeita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 w14:paraId="576A8DED" w14:textId="77777777">
      <w:pPr>
        <w:pBdr/>
        <w:spacing w:line="200" w:lineRule="atLeast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DD391D8" w14:textId="77777777">
      <w:pPr>
        <w:pBdr/>
        <w:shd w:val="clear" w:color="auto" w:fill="ffffff"/>
        <w:spacing w:line="360" w:lineRule="auto"/>
        <w:ind/>
        <w:jc w:val="center"/>
        <w:rPr>
          <w:rFonts w:ascii="Arial" w:hAnsi="Arial" w:cs="Arial"/>
          <w:b/>
          <w:color w:val="000000"/>
          <w:sz w:val="21"/>
          <w:szCs w:val="21"/>
          <w:lang w:eastAsia="pt-BR"/>
        </w:rPr>
      </w:pPr>
      <w:r>
        <w:rPr>
          <w:rFonts w:ascii="Arial" w:hAnsi="Arial" w:cs="Arial"/>
          <w:b/>
          <w:color w:val="000000"/>
          <w:sz w:val="21"/>
          <w:szCs w:val="21"/>
          <w:lang w:eastAsia="pt-BR"/>
        </w:rPr>
      </w:r>
      <w:r>
        <w:rPr>
          <w:rFonts w:ascii="Arial" w:hAnsi="Arial" w:cs="Arial"/>
          <w:b/>
          <w:color w:val="000000"/>
          <w:sz w:val="21"/>
          <w:szCs w:val="21"/>
          <w:lang w:eastAsia="pt-BR"/>
        </w:rPr>
      </w:r>
      <w:r>
        <w:rPr>
          <w:rFonts w:ascii="Arial" w:hAnsi="Arial" w:cs="Arial"/>
          <w:b/>
          <w:color w:val="000000"/>
          <w:sz w:val="21"/>
          <w:szCs w:val="21"/>
          <w:lang w:eastAsia="pt-BR"/>
        </w:rPr>
      </w:r>
    </w:p>
    <w:p w14:paraId="288ECFA8" w14:textId="77777777">
      <w:pPr>
        <w:pBdr/>
        <w:shd w:val="clear" w:color="auto" w:fill="ffffff"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CAPÍTULO I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9C11EC0" w14:textId="77777777">
      <w:pPr>
        <w:pBdr/>
        <w:shd w:val="clear" w:color="auto" w:fill="ffffff"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b/>
          <w:sz w:val="24"/>
          <w:szCs w:val="24"/>
        </w:rPr>
        <w:t xml:space="preserve">DAS NORMAS GERAIS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50C56080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F13E38B" w14:textId="201B6E78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 A presente Lei visa regulamentar as despesas de pronto pagamento, admitindo, neste caso, a contratação verbal, oriundas de pequenas compras ou prestações de serviços de baixo valor</w:t>
      </w:r>
      <w:r>
        <w:rPr>
          <w:rFonts w:ascii="Arial" w:hAnsi="Arial" w:cs="Arial"/>
          <w:sz w:val="24"/>
          <w:szCs w:val="24"/>
        </w:rPr>
        <w:t xml:space="preserve">, consoante as disposições do §</w:t>
      </w:r>
      <w:r>
        <w:rPr>
          <w:rFonts w:ascii="Arial" w:hAnsi="Arial" w:cs="Arial"/>
          <w:sz w:val="24"/>
          <w:szCs w:val="24"/>
        </w:rPr>
        <w:t xml:space="preserve">2º do </w:t>
      </w:r>
      <w:r>
        <w:rPr>
          <w:rFonts w:ascii="Arial" w:hAnsi="Arial" w:cs="Arial"/>
          <w:sz w:val="24"/>
          <w:szCs w:val="24"/>
        </w:rPr>
        <w:t xml:space="preserve">art.</w:t>
      </w:r>
      <w:r>
        <w:rPr>
          <w:rFonts w:ascii="Arial" w:hAnsi="Arial" w:cs="Arial"/>
          <w:sz w:val="24"/>
          <w:szCs w:val="24"/>
        </w:rPr>
        <w:t xml:space="preserve"> 95 da Lei </w:t>
      </w:r>
      <w:r>
        <w:rPr>
          <w:rFonts w:ascii="Arial" w:hAnsi="Arial" w:cs="Arial"/>
          <w:sz w:val="24"/>
          <w:szCs w:val="24"/>
        </w:rPr>
        <w:t xml:space="preserve">Federal </w:t>
      </w:r>
      <w:r>
        <w:rPr>
          <w:rFonts w:ascii="Arial" w:hAnsi="Arial" w:cs="Arial"/>
          <w:sz w:val="24"/>
          <w:szCs w:val="24"/>
        </w:rPr>
        <w:t xml:space="preserve">nº 14.133, de 1º de abril de 2021 e dos artigos 68 e 69 da Lei Federal nº 4.320, de 17 de março de 1964.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90D2B8D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94CBB2F" w14:textId="191DCAA3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 </w:t>
      </w:r>
      <w:r>
        <w:rPr>
          <w:rFonts w:ascii="Arial" w:hAnsi="Arial" w:cs="Arial"/>
          <w:sz w:val="24"/>
          <w:szCs w:val="24"/>
        </w:rPr>
        <w:t xml:space="preserve">As contratações mencionadas no art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1º ocorrem por meio de regime contábil de adiantamento e servem para as despesas expressamente definidas em lei, com a entrega de numerário a servidor responsável, via</w:t>
      </w:r>
      <w:r>
        <w:rPr>
          <w:rFonts w:ascii="Arial" w:hAnsi="Arial" w:cs="Arial"/>
          <w:sz w:val="24"/>
          <w:szCs w:val="24"/>
        </w:rPr>
        <w:t xml:space="preserve"> cartão de</w:t>
      </w:r>
      <w:r>
        <w:rPr>
          <w:rFonts w:ascii="Arial" w:hAnsi="Arial" w:cs="Arial"/>
          <w:sz w:val="24"/>
          <w:szCs w:val="24"/>
        </w:rPr>
        <w:t xml:space="preserve"> suprimento de fundos, precedida de empenho na dotação própria e que não possam subordinar-se ao processo normal de aplicação da despesa pública (empenho, liquidação e pagamento)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5FB5B065" w14:textId="77777777">
      <w:pPr>
        <w:pBdr/>
        <w:shd w:val="clear" w:color="auto" w:fill="ffffff"/>
        <w:spacing w:line="360" w:lineRule="auto"/>
        <w:ind w:firstLine="226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583D06FB" w14:textId="58EC35A1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</w:t>
      </w:r>
      <w:r>
        <w:rPr>
          <w:rFonts w:ascii="Arial" w:hAnsi="Arial" w:cs="Arial"/>
          <w:sz w:val="24"/>
          <w:szCs w:val="24"/>
        </w:rPr>
        <w:t xml:space="preserve"> As despesas de pronto pagamento previstas nesta Lei não</w:t>
      </w:r>
      <w:r>
        <w:rPr>
          <w:rFonts w:ascii="Arial" w:hAnsi="Arial" w:cs="Arial"/>
          <w:sz w:val="24"/>
          <w:szCs w:val="24"/>
        </w:rPr>
        <w:t xml:space="preserve"> poderão ultrapassar anualmente</w:t>
      </w:r>
      <w:r>
        <w:rPr>
          <w:rFonts w:ascii="Arial" w:hAnsi="Arial" w:cs="Arial"/>
          <w:sz w:val="24"/>
          <w:szCs w:val="24"/>
        </w:rPr>
        <w:t xml:space="preserve"> e por suprido o teto estabelecido no §2º do art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95 da Lei </w:t>
      </w:r>
      <w:r>
        <w:rPr>
          <w:rFonts w:ascii="Arial" w:hAnsi="Arial" w:cs="Arial"/>
          <w:sz w:val="24"/>
          <w:szCs w:val="24"/>
        </w:rPr>
        <w:t xml:space="preserve">Federal </w:t>
      </w:r>
      <w:r>
        <w:rPr>
          <w:rFonts w:ascii="Arial" w:hAnsi="Arial" w:cs="Arial"/>
          <w:sz w:val="24"/>
          <w:szCs w:val="24"/>
        </w:rPr>
        <w:t xml:space="preserve">nº 14.133, de 1º de abril de 2021, atualizado anualmente por decreto federal.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841A16D" w14:textId="77777777">
      <w:pPr>
        <w:pBdr/>
        <w:shd w:val="clear" w:color="auto" w:fill="ffffff"/>
        <w:spacing w:line="360" w:lineRule="auto"/>
        <w:ind w:firstLine="226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48DAAF0F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 É expressamente vedado o fracionamento de despesas com o intuito de ajustá-las ao limite estabelecido no caput deste artigo.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87AB1D6" w14:textId="77777777">
      <w:pPr>
        <w:pBdr/>
        <w:shd w:val="clear" w:color="auto" w:fill="ffffff"/>
        <w:spacing w:line="360" w:lineRule="auto"/>
        <w:ind w:firstLine="226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6051AFC" w14:textId="487119D9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4º </w:t>
      </w:r>
      <w:r>
        <w:rPr>
          <w:rFonts w:ascii="Arial" w:hAnsi="Arial" w:cs="Arial"/>
          <w:sz w:val="24"/>
          <w:szCs w:val="24"/>
        </w:rPr>
        <w:t xml:space="preserve">Além do limite estabelecido no artigo anterior, as despesas realizadas pela entidade sob a sistemática de pronto pagamento deverão observar os </w:t>
      </w:r>
      <w:r>
        <w:rPr>
          <w:rFonts w:ascii="Arial" w:hAnsi="Arial" w:cs="Arial"/>
          <w:sz w:val="24"/>
          <w:szCs w:val="24"/>
        </w:rPr>
        <w:t xml:space="preserve">limites</w:t>
      </w:r>
      <w:r>
        <w:rPr>
          <w:rFonts w:ascii="Arial" w:hAnsi="Arial" w:cs="Arial"/>
          <w:sz w:val="24"/>
          <w:szCs w:val="24"/>
        </w:rPr>
        <w:t xml:space="preserve"> previstos nos incisos I e II do § 1º do art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75 da Lei Federal nº 14.133, de 1º de abril de 2021.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CE910E2" w14:textId="77777777">
      <w:pPr>
        <w:pBdr/>
        <w:shd w:val="clear" w:color="auto" w:fill="ffffff"/>
        <w:spacing w:line="360" w:lineRule="auto"/>
        <w:ind w:firstLine="226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4439980D" w14:textId="40D9BC7F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</w:t>
      </w:r>
      <w:r>
        <w:rPr>
          <w:rFonts w:ascii="Arial" w:hAnsi="Arial" w:cs="Arial"/>
          <w:b/>
          <w:sz w:val="24"/>
          <w:szCs w:val="24"/>
        </w:rPr>
        <w:t xml:space="preserve">1º </w:t>
      </w:r>
      <w:r>
        <w:rPr>
          <w:rFonts w:ascii="Arial" w:hAnsi="Arial" w:cs="Arial"/>
          <w:sz w:val="24"/>
          <w:szCs w:val="24"/>
        </w:rPr>
        <w:t xml:space="preserve">Para fins de apuração do limite mencionado, ser</w:t>
      </w:r>
      <w:r>
        <w:rPr>
          <w:rFonts w:ascii="Arial" w:hAnsi="Arial" w:cs="Arial"/>
          <w:sz w:val="24"/>
          <w:szCs w:val="24"/>
        </w:rPr>
        <w:t xml:space="preserve">á considerado o somatório das despesas referentes a objetos de mesma natureza, entendendo-se como tais aqueles relacionados a contratações inseridas no mesmo ramo de atividade, realizadas no decorrer do exercício financeiro pela respectiva unidade gestora.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08AFE91" w14:textId="77777777">
      <w:pPr>
        <w:pBdr/>
        <w:shd w:val="clear" w:color="auto" w:fill="ffffff"/>
        <w:spacing w:line="360" w:lineRule="auto"/>
        <w:ind w:firstLine="226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1F54E455" w14:textId="2112D44E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</w:t>
      </w:r>
      <w:r>
        <w:rPr>
          <w:rFonts w:ascii="Arial" w:hAnsi="Arial" w:cs="Arial"/>
          <w:b/>
          <w:sz w:val="24"/>
          <w:szCs w:val="24"/>
        </w:rPr>
        <w:t xml:space="preserve">2º </w:t>
      </w:r>
      <w:r>
        <w:rPr>
          <w:rFonts w:ascii="Arial" w:hAnsi="Arial" w:cs="Arial"/>
          <w:sz w:val="24"/>
          <w:szCs w:val="24"/>
        </w:rPr>
        <w:t xml:space="preserve">Como ramo de atividade serão considerados todos os desembolsos realizados para despesas da mesma natureza, assim entendidas aquelas relativas a contratações cujos objetos guardem semelhanças entre si e que visem aos mesmos propósitos;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6C85AD6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F5181EF" w14:textId="1C34662B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</w:t>
      </w:r>
      <w:r>
        <w:rPr>
          <w:rFonts w:ascii="Arial" w:hAnsi="Arial" w:cs="Arial"/>
          <w:b/>
          <w:sz w:val="24"/>
          <w:szCs w:val="24"/>
        </w:rPr>
        <w:t xml:space="preserve">3º </w:t>
      </w:r>
      <w:r>
        <w:rPr>
          <w:rFonts w:ascii="Arial" w:hAnsi="Arial" w:cs="Arial"/>
          <w:sz w:val="24"/>
          <w:szCs w:val="24"/>
        </w:rPr>
        <w:t xml:space="preserve">O controle e o registro de</w:t>
      </w:r>
      <w:r>
        <w:rPr>
          <w:rFonts w:ascii="Arial" w:hAnsi="Arial" w:cs="Arial"/>
          <w:sz w:val="24"/>
          <w:szCs w:val="24"/>
        </w:rPr>
        <w:t xml:space="preserve">ssas despesas deverão ser efetuados de maneira a assegurar o monitoramento eficaz dos limites legais, cabendo à unidade gestora dispor de sistema ou instrumento que permita a rastreabilidade e o acompanhamento das contratações enquadradas nesta modalidade.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7EB14B2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4F27E86" w14:textId="74A12E0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 xml:space="preserve">Os recursos concedidos sob a forma de</w:t>
      </w:r>
      <w:r>
        <w:rPr>
          <w:rFonts w:ascii="Arial" w:hAnsi="Arial" w:cs="Arial"/>
          <w:sz w:val="24"/>
          <w:szCs w:val="24"/>
        </w:rPr>
        <w:t xml:space="preserve"> suprimento de fundos</w:t>
      </w:r>
      <w:r>
        <w:rPr>
          <w:rFonts w:ascii="Arial" w:hAnsi="Arial" w:cs="Arial"/>
          <w:sz w:val="24"/>
          <w:szCs w:val="24"/>
        </w:rPr>
        <w:t xml:space="preserve"> somente poderão ser empregados na cobertura de despesas de pronto</w:t>
      </w:r>
      <w:r>
        <w:rPr>
          <w:rFonts w:ascii="Arial" w:hAnsi="Arial" w:cs="Arial"/>
          <w:sz w:val="24"/>
          <w:szCs w:val="24"/>
        </w:rPr>
        <w:t xml:space="preserve"> pagamento, nos termos do art.</w:t>
      </w:r>
      <w:r>
        <w:rPr>
          <w:rFonts w:ascii="Arial" w:hAnsi="Arial" w:cs="Arial"/>
          <w:sz w:val="24"/>
          <w:szCs w:val="24"/>
        </w:rPr>
        <w:t xml:space="preserve"> 1º, desde que atendidos, de forma cumulativa, os seguintes requisitos: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5ECA635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2B11CB0" w14:textId="2A66B868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 xml:space="preserve">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constituírem</w:t>
      </w:r>
      <w:r>
        <w:rPr>
          <w:rFonts w:ascii="Arial" w:hAnsi="Arial" w:cs="Arial"/>
          <w:sz w:val="24"/>
          <w:szCs w:val="24"/>
        </w:rPr>
        <w:t xml:space="preserve"> despesas de pequeno va</w:t>
      </w:r>
      <w:r>
        <w:rPr>
          <w:rFonts w:ascii="Arial" w:hAnsi="Arial" w:cs="Arial"/>
          <w:sz w:val="24"/>
          <w:szCs w:val="24"/>
        </w:rPr>
        <w:t xml:space="preserve">lor, conforme definido no art.</w:t>
      </w:r>
      <w:r>
        <w:rPr>
          <w:rFonts w:ascii="Arial" w:hAnsi="Arial" w:cs="Arial"/>
          <w:sz w:val="24"/>
          <w:szCs w:val="24"/>
        </w:rPr>
        <w:t xml:space="preserve"> 3º;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388C86E" w14:textId="522A3D89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</w:t>
      </w:r>
      <w:r>
        <w:rPr>
          <w:rFonts w:ascii="Arial" w:hAnsi="Arial" w:cs="Arial"/>
          <w:b/>
          <w:sz w:val="24"/>
          <w:szCs w:val="24"/>
        </w:rPr>
        <w:t xml:space="preserve">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demandarem</w:t>
      </w:r>
      <w:r>
        <w:rPr>
          <w:rFonts w:ascii="Arial" w:hAnsi="Arial" w:cs="Arial"/>
          <w:sz w:val="24"/>
          <w:szCs w:val="24"/>
        </w:rPr>
        <w:t xml:space="preserve"> atendimento imediato, não sendo passíveis de tramitação pelo regime ordinário de execução da despesa, que compreende empenho prévio, liquidação e pagamento;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97E0EB8" w14:textId="23C2268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</w:t>
      </w:r>
      <w:r>
        <w:rPr>
          <w:rFonts w:ascii="Arial" w:hAnsi="Arial" w:cs="Arial"/>
          <w:sz w:val="24"/>
          <w:szCs w:val="24"/>
        </w:rPr>
        <w:t xml:space="preserve">apresentarem natureza excepcional, caracterizada por circunstâncias que inviabilizem o planejamento antecipado, a realização de procedimento licitatório ou a formalização de contratação direta;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C5482E1" w14:textId="0DBC9F91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- </w:t>
      </w:r>
      <w:r>
        <w:rPr>
          <w:rFonts w:ascii="Arial" w:hAnsi="Arial" w:cs="Arial"/>
          <w:sz w:val="24"/>
          <w:szCs w:val="24"/>
        </w:rPr>
        <w:t xml:space="preserve">configurarem</w:t>
      </w:r>
      <w:r>
        <w:rPr>
          <w:rFonts w:ascii="Arial" w:hAnsi="Arial" w:cs="Arial"/>
          <w:sz w:val="24"/>
          <w:szCs w:val="24"/>
        </w:rPr>
        <w:t xml:space="preserve"> situações de caráter eventual, não se enquadrando como rotineiras.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12DB4E1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180C5A0" w14:textId="6037FD5B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 As despesas de pronto pagamento não se confundem com as contratações diretas pelo valor, previstas nos incisos I e II do caput do art. 75 da Lei </w:t>
      </w:r>
      <w:r>
        <w:rPr>
          <w:rFonts w:ascii="Arial" w:hAnsi="Arial" w:cs="Arial"/>
          <w:sz w:val="24"/>
          <w:szCs w:val="24"/>
        </w:rPr>
        <w:t xml:space="preserve">Federal </w:t>
      </w:r>
      <w:r>
        <w:rPr>
          <w:rFonts w:ascii="Arial" w:hAnsi="Arial" w:cs="Arial"/>
          <w:sz w:val="24"/>
          <w:szCs w:val="24"/>
        </w:rPr>
        <w:t xml:space="preserve">nº 14.133/2021.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42A5334" w14:textId="77777777">
      <w:pPr>
        <w:pBdr/>
        <w:shd w:val="clear" w:color="auto" w:fill="ffffff"/>
        <w:spacing w:line="360" w:lineRule="auto"/>
        <w:ind w:firstLine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7C125B8" w14:textId="77777777">
      <w:pPr>
        <w:pBdr/>
        <w:shd w:val="clear" w:color="auto" w:fill="ffffff"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CAPÍTULO I</w:t>
      </w:r>
      <w:r>
        <w:rPr>
          <w:rFonts w:ascii="Arial" w:hAnsi="Arial" w:cs="Arial"/>
          <w:b/>
          <w:sz w:val="24"/>
          <w:szCs w:val="24"/>
        </w:rPr>
        <w:t xml:space="preserve">I</w:t>
      </w:r>
      <w:r>
        <w:rPr>
          <w:rFonts w:ascii="Arial" w:hAnsi="Arial" w:cs="Arial"/>
          <w:b/>
          <w:sz w:val="24"/>
          <w:szCs w:val="24"/>
        </w:rPr>
        <w:br/>
        <w:t xml:space="preserve">DO CARTÃO DE PAGAMENTO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7D0EC5F" w14:textId="77777777">
      <w:pPr>
        <w:pBdr/>
        <w:shd w:val="clear" w:color="auto" w:fill="ffffff"/>
        <w:spacing w:line="360" w:lineRule="auto"/>
        <w:ind w:firstLine="21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1508BAE7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6º</w:t>
      </w:r>
      <w:r>
        <w:rPr>
          <w:rFonts w:ascii="Arial" w:hAnsi="Arial" w:cs="Arial"/>
          <w:b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As despesas relativas a pequenas compras e prestação de serviços de pronto pagamento efetuadas em regime de</w:t>
      </w:r>
      <w:r>
        <w:rPr>
          <w:rFonts w:ascii="Arial" w:hAnsi="Arial" w:cs="Arial"/>
          <w:sz w:val="24"/>
          <w:szCs w:val="24"/>
        </w:rPr>
        <w:t xml:space="preserve"> suprimento de fundos</w:t>
      </w:r>
      <w:r>
        <w:rPr>
          <w:rFonts w:ascii="Arial" w:hAnsi="Arial" w:cs="Arial"/>
          <w:sz w:val="24"/>
          <w:szCs w:val="24"/>
        </w:rPr>
        <w:t xml:space="preserve"> serão pagas através de cartão de pagamento.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AF6E0DA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C1CAFC3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7º</w:t>
      </w:r>
      <w:r>
        <w:rPr>
          <w:rFonts w:ascii="Arial" w:hAnsi="Arial" w:cs="Arial"/>
          <w:sz w:val="24"/>
          <w:szCs w:val="24"/>
        </w:rPr>
        <w:t xml:space="preserve"> O cartão</w:t>
      </w:r>
      <w:r>
        <w:rPr>
          <w:rFonts w:ascii="Arial" w:hAnsi="Arial" w:cs="Arial"/>
          <w:sz w:val="24"/>
          <w:szCs w:val="24"/>
        </w:rPr>
        <w:t xml:space="preserve"> de pagamento é um instrumento de pagamento, emitido em nome da unidade gestora e operacionalizado por instituição financeira autorizada, utilizado exclusivamente pelo portador nele identificado, nos casos indicados em ato próprio da autoridade competente.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38F97E5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6C2EDAE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8º</w:t>
      </w:r>
      <w:r>
        <w:rPr>
          <w:rFonts w:ascii="Arial" w:hAnsi="Arial" w:cs="Arial"/>
          <w:b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Os recursos concedidos a título de </w:t>
      </w:r>
      <w:r>
        <w:rPr>
          <w:rFonts w:ascii="Arial" w:hAnsi="Arial" w:cs="Arial"/>
          <w:sz w:val="24"/>
          <w:szCs w:val="24"/>
        </w:rPr>
        <w:t xml:space="preserve">suprimento de fundos</w:t>
      </w:r>
      <w:r>
        <w:rPr>
          <w:rFonts w:ascii="Arial" w:hAnsi="Arial" w:cs="Arial"/>
          <w:sz w:val="24"/>
          <w:szCs w:val="24"/>
        </w:rPr>
        <w:t xml:space="preserve"> serão depositados em conta bancária específica, identificada com o nome da unidade concedente, acrescido da expressão "Adiantamentos".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1F24FC9C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2ECFDAD9" w14:textId="01DFAC91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</w:t>
      </w:r>
      <w:r>
        <w:rPr>
          <w:rFonts w:ascii="Arial" w:hAnsi="Arial" w:cs="Arial"/>
          <w:b/>
          <w:sz w:val="24"/>
          <w:szCs w:val="24"/>
        </w:rPr>
        <w:t xml:space="preserve">1º </w:t>
      </w:r>
      <w:r>
        <w:rPr>
          <w:rFonts w:ascii="Arial" w:hAnsi="Arial" w:cs="Arial"/>
          <w:sz w:val="24"/>
          <w:szCs w:val="24"/>
        </w:rPr>
        <w:t xml:space="preserve">Será firmado contrato ou proposta de adesão, ou ambos, com instituição financeira para utilização do cartão de pagamento, sendo o ordenador de despesas responsável pela assinatura do contrato e proposta, assim como indicar portadores 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cartão de pagamento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1767AC21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93B4D98" w14:textId="7F43389D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§2º </w:t>
      </w:r>
      <w:r>
        <w:rPr>
          <w:rFonts w:ascii="Arial" w:hAnsi="Arial" w:cs="Arial"/>
          <w:sz w:val="24"/>
          <w:szCs w:val="24"/>
        </w:rPr>
        <w:t xml:space="preserve">Os recursos aportados previamente deverão ser mantidos aplicados em fundos de investimento destinados à administração pública.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0DFDBF1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57C8084E" w14:textId="762E7145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§3º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S</w:t>
      </w:r>
      <w:r>
        <w:rPr>
          <w:rFonts w:ascii="Arial" w:hAnsi="Arial" w:cs="Arial"/>
          <w:sz w:val="24"/>
          <w:szCs w:val="24"/>
        </w:rPr>
        <w:t xml:space="preserve">etor de Contabilidade, Finanças, Patrimônio e Compras Públicas</w:t>
      </w:r>
      <w:r>
        <w:rPr>
          <w:rFonts w:ascii="Arial" w:hAnsi="Arial" w:cs="Arial"/>
          <w:sz w:val="24"/>
          <w:szCs w:val="24"/>
        </w:rPr>
        <w:t xml:space="preserve"> será responsável por controlar a liberação dos valores e de limites do cartão de pagamento para os usuários.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FF379D2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A952CD4" w14:textId="169A216D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9º</w:t>
      </w:r>
      <w:r>
        <w:rPr>
          <w:rFonts w:ascii="Arial" w:hAnsi="Arial" w:cs="Arial"/>
          <w:b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Além de outras responsabilidades estabelecidas na legislação e na regulamentação específica, para os efeitos da utilização do cartão de pagamento, caberá à presidência ou a servidor designado: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7E59C0E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EA09328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- </w:t>
      </w:r>
      <w:r>
        <w:rPr>
          <w:rFonts w:ascii="Arial" w:hAnsi="Arial" w:cs="Arial"/>
          <w:sz w:val="24"/>
          <w:szCs w:val="24"/>
        </w:rPr>
        <w:t xml:space="preserve">autorizar</w:t>
      </w:r>
      <w:r>
        <w:rPr>
          <w:rFonts w:ascii="Arial" w:hAnsi="Arial" w:cs="Arial"/>
          <w:sz w:val="24"/>
          <w:szCs w:val="24"/>
        </w:rPr>
        <w:t xml:space="preserve"> uso, definir o limite de utilização e o valor para cada portador;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13A7012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- </w:t>
      </w:r>
      <w:r>
        <w:rPr>
          <w:rFonts w:ascii="Arial" w:hAnsi="Arial" w:cs="Arial"/>
          <w:sz w:val="24"/>
          <w:szCs w:val="24"/>
        </w:rPr>
        <w:t xml:space="preserve">alterar</w:t>
      </w:r>
      <w:r>
        <w:rPr>
          <w:rFonts w:ascii="Arial" w:hAnsi="Arial" w:cs="Arial"/>
          <w:sz w:val="24"/>
          <w:szCs w:val="24"/>
        </w:rPr>
        <w:t xml:space="preserve"> o limite de utilização e de valor; 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9EA5D32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</w:t>
      </w:r>
      <w:r>
        <w:rPr>
          <w:rFonts w:ascii="Arial" w:hAnsi="Arial" w:cs="Arial"/>
          <w:sz w:val="24"/>
          <w:szCs w:val="24"/>
        </w:rPr>
        <w:t xml:space="preserve">efetivar a disponibilização dos limites eletronicamente, jun</w:t>
      </w:r>
      <w:r>
        <w:rPr>
          <w:rFonts w:ascii="Arial" w:hAnsi="Arial" w:cs="Arial"/>
          <w:sz w:val="24"/>
          <w:szCs w:val="24"/>
        </w:rPr>
        <w:t xml:space="preserve">to ao estabelecimento bancário.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F062E57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B2C9E05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10</w:t>
      </w:r>
      <w:r>
        <w:rPr>
          <w:rFonts w:ascii="Arial" w:hAnsi="Arial" w:cs="Arial"/>
          <w:b/>
          <w:sz w:val="24"/>
          <w:szCs w:val="24"/>
        </w:rPr>
        <w:t xml:space="preserve">. </w:t>
      </w:r>
      <w:r>
        <w:rPr>
          <w:rFonts w:ascii="Arial" w:hAnsi="Arial" w:cs="Arial"/>
          <w:sz w:val="24"/>
          <w:szCs w:val="24"/>
        </w:rPr>
        <w:t xml:space="preserve">O pagamento deverá ser efetivado na data da compra, exigindo-se no respectivo comprovante de venda, ou mediante inserção de senha do portador ou de assinatura eletrônica, conforme o caso.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9B6D432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FBFFEEC" w14:textId="37057E99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</w:t>
      </w:r>
      <w:r>
        <w:rPr>
          <w:rFonts w:ascii="Arial" w:hAnsi="Arial" w:cs="Arial"/>
          <w:b/>
          <w:sz w:val="24"/>
          <w:szCs w:val="24"/>
        </w:rPr>
        <w:t xml:space="preserve">1º </w:t>
      </w:r>
      <w:r>
        <w:rPr>
          <w:rFonts w:ascii="Arial" w:hAnsi="Arial" w:cs="Arial"/>
          <w:sz w:val="24"/>
          <w:szCs w:val="24"/>
        </w:rPr>
        <w:t xml:space="preserve">O pagamento deve ser realizado pelo valor do comprovante fiscal.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8D68973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0126733" w14:textId="6E6C6063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</w:t>
      </w:r>
      <w:r>
        <w:rPr>
          <w:rFonts w:ascii="Arial" w:hAnsi="Arial" w:cs="Arial"/>
          <w:b/>
          <w:sz w:val="24"/>
          <w:szCs w:val="24"/>
        </w:rPr>
        <w:t xml:space="preserve">2º </w:t>
      </w:r>
      <w:r>
        <w:rPr>
          <w:rFonts w:ascii="Arial" w:hAnsi="Arial" w:cs="Arial"/>
          <w:sz w:val="24"/>
          <w:szCs w:val="24"/>
        </w:rPr>
        <w:t xml:space="preserve">É vedada a aceitação de qualquer acréscimo no valor da despesa decorrente da utilização do cartão de pagamento.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D0DC447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42FACD6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</w:t>
      </w:r>
      <w:r>
        <w:rPr>
          <w:rFonts w:ascii="Arial" w:hAnsi="Arial" w:cs="Arial"/>
          <w:b/>
          <w:sz w:val="24"/>
          <w:szCs w:val="24"/>
        </w:rPr>
        <w:t xml:space="preserve">1</w:t>
      </w:r>
      <w:r>
        <w:rPr>
          <w:rFonts w:ascii="Arial" w:hAnsi="Arial" w:cs="Arial"/>
          <w:b/>
          <w:sz w:val="24"/>
          <w:szCs w:val="24"/>
        </w:rPr>
        <w:t xml:space="preserve">. </w:t>
      </w:r>
      <w:r>
        <w:rPr>
          <w:rFonts w:ascii="Arial" w:hAnsi="Arial" w:cs="Arial"/>
          <w:sz w:val="24"/>
          <w:szCs w:val="24"/>
        </w:rPr>
        <w:t xml:space="preserve">Não será admitida a cobrança de taxas de adesão, de manutenção, de anuidades ou de quaisquer outras despesas decorrentes da obtenção ou do uso do cartão de pagamento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4067B6F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7BA4E87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</w:t>
      </w:r>
      <w:r>
        <w:rPr>
          <w:rFonts w:ascii="Arial" w:hAnsi="Arial" w:cs="Arial"/>
          <w:b/>
          <w:sz w:val="24"/>
          <w:szCs w:val="24"/>
        </w:rPr>
        <w:t xml:space="preserve">2</w:t>
      </w:r>
      <w:r>
        <w:rPr>
          <w:rFonts w:ascii="Arial" w:hAnsi="Arial" w:cs="Arial"/>
          <w:b/>
          <w:sz w:val="24"/>
          <w:szCs w:val="24"/>
        </w:rPr>
        <w:t xml:space="preserve">. </w:t>
      </w:r>
      <w:r>
        <w:rPr>
          <w:rFonts w:ascii="Arial" w:hAnsi="Arial" w:cs="Arial"/>
          <w:sz w:val="24"/>
          <w:szCs w:val="24"/>
        </w:rPr>
        <w:t xml:space="preserve">O portador do cartão é responsável por sua guarda e uso e pela prestação de contas.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1637EE3" w14:textId="3F616840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</w:t>
      </w:r>
      <w:r>
        <w:rPr>
          <w:rFonts w:ascii="Arial" w:hAnsi="Arial" w:cs="Arial"/>
          <w:b/>
          <w:sz w:val="24"/>
          <w:szCs w:val="24"/>
        </w:rPr>
        <w:t xml:space="preserve">1º </w:t>
      </w:r>
      <w:r>
        <w:rPr>
          <w:rFonts w:ascii="Arial" w:hAnsi="Arial" w:cs="Arial"/>
          <w:sz w:val="24"/>
          <w:szCs w:val="24"/>
        </w:rPr>
        <w:t xml:space="preserve">Nos casos de roubo, furto, perda ou extravio de cartões, caberá ao portador comunicar o ocorrido à instituição financeira e ao setor financeiro, registrar boletim de ocorrência e solicitar imediatamente uma segunda via do cartão.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1107AF3F" w14:textId="0A65AE5F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</w:t>
      </w:r>
      <w:r>
        <w:rPr>
          <w:rFonts w:ascii="Arial" w:hAnsi="Arial" w:cs="Arial"/>
          <w:b/>
          <w:sz w:val="24"/>
          <w:szCs w:val="24"/>
        </w:rPr>
        <w:t xml:space="preserve">2º </w:t>
      </w:r>
      <w:r>
        <w:rPr>
          <w:rFonts w:ascii="Arial" w:hAnsi="Arial" w:cs="Arial"/>
          <w:sz w:val="24"/>
          <w:szCs w:val="24"/>
        </w:rPr>
        <w:t xml:space="preserve">No ato da comunicação do roubo, furto, perda ou extravio do cartão de pagamento, a instituição financeira deverá fornecer confirmação e identificação do pedido de bloqueio do cartão.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EDAC333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597F6806" w14:textId="0963E0C4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13.</w:t>
      </w:r>
      <w:r>
        <w:rPr>
          <w:rFonts w:ascii="Arial" w:hAnsi="Arial" w:cs="Arial"/>
          <w:sz w:val="24"/>
          <w:szCs w:val="24"/>
        </w:rPr>
        <w:t xml:space="preserve">  Não serão concedidos recursos financeiros a título de adiantamento: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7B26677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7C6889F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servidor</w:t>
      </w:r>
      <w:r>
        <w:rPr>
          <w:rFonts w:ascii="Arial" w:hAnsi="Arial" w:cs="Arial"/>
          <w:sz w:val="24"/>
          <w:szCs w:val="24"/>
        </w:rPr>
        <w:t xml:space="preserve"> responsável por 2 (dois) adiantamentos em fase de aplicação e/ou de apresentação de prestação de contas;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673F874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gestor ou a servidor responsável pela utilização do adiantamento que: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9D34D53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 xml:space="preserve">estiver omisso no dever de prestar contas</w:t>
      </w:r>
      <w:r>
        <w:rPr>
          <w:rFonts w:ascii="Arial" w:hAnsi="Arial" w:cs="Arial"/>
          <w:b/>
          <w:sz w:val="24"/>
          <w:szCs w:val="24"/>
        </w:rPr>
        <w:t xml:space="preserve">;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A4A18BC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 xml:space="preserve">tiver prestação de contas reprovada em virtude de desvio, de desfalque, de falta ou de aplicação indevida dos recursos recebidos, enquanto os valores não forem ressarcidos</w:t>
      </w:r>
      <w:r>
        <w:rPr>
          <w:rFonts w:ascii="Arial" w:hAnsi="Arial" w:cs="Arial"/>
          <w:b/>
          <w:sz w:val="24"/>
          <w:szCs w:val="24"/>
        </w:rPr>
        <w:t xml:space="preserve">;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57A3A4E2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 xml:space="preserve">dentro do prazo fixado, tenha deixado de atender à notificação de órgão do controle interno ou do Tribunal de Contas para regularizar a prestação de contas.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BF961F8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9304833" w14:textId="7DC65E4D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14.</w:t>
      </w:r>
      <w:r>
        <w:rPr>
          <w:rFonts w:ascii="Arial" w:hAnsi="Arial" w:cs="Arial"/>
          <w:sz w:val="24"/>
          <w:szCs w:val="24"/>
        </w:rPr>
        <w:t xml:space="preserve">  Ficam vedadas as despesas realizadas sob a sistemática de pronto pagamento para as seguintes espécies de objetos</w:t>
      </w:r>
      <w:r>
        <w:rPr>
          <w:rFonts w:ascii="Arial" w:hAnsi="Arial" w:cs="Arial"/>
          <w:b/>
          <w:sz w:val="24"/>
          <w:szCs w:val="24"/>
        </w:rPr>
        <w:t xml:space="preserve">: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E1CA16A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C4EB5F3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locações</w:t>
      </w:r>
      <w:r>
        <w:rPr>
          <w:rFonts w:ascii="Arial" w:hAnsi="Arial" w:cs="Arial"/>
          <w:sz w:val="24"/>
          <w:szCs w:val="24"/>
        </w:rPr>
        <w:t xml:space="preserve">;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E12AEBE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</w:t>
      </w:r>
      <w:r>
        <w:rPr>
          <w:rFonts w:ascii="Arial" w:hAnsi="Arial" w:cs="Arial"/>
          <w:b/>
          <w:sz w:val="24"/>
          <w:szCs w:val="24"/>
        </w:rPr>
        <w:t xml:space="preserve">I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reposição</w:t>
      </w:r>
      <w:r>
        <w:rPr>
          <w:rFonts w:ascii="Arial" w:hAnsi="Arial" w:cs="Arial"/>
          <w:sz w:val="24"/>
          <w:szCs w:val="24"/>
        </w:rPr>
        <w:t xml:space="preserve"> de estoque ou almoxarifado;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883A14B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contratações relacionadas à tecnologia da informação e de comunicação (TIC).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22904E5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61D0551" w14:textId="78D2430B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15.</w:t>
      </w:r>
      <w:r>
        <w:rPr>
          <w:rFonts w:ascii="Arial" w:hAnsi="Arial" w:cs="Arial"/>
          <w:b/>
          <w:sz w:val="24"/>
          <w:szCs w:val="24"/>
        </w:rPr>
        <w:t xml:space="preserve">  </w:t>
      </w:r>
      <w:r>
        <w:rPr>
          <w:rFonts w:ascii="Arial" w:hAnsi="Arial" w:cs="Arial"/>
          <w:sz w:val="24"/>
          <w:szCs w:val="24"/>
        </w:rPr>
        <w:t xml:space="preserve">O gestor ou o servidor responsável pelas transferências de recursos em regime de adiantamento não pode permitir nem utilizar recursos para: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562E9DE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C314695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 xml:space="preserve">cobrir</w:t>
      </w:r>
      <w:r>
        <w:rPr>
          <w:rFonts w:ascii="Arial" w:hAnsi="Arial" w:cs="Arial"/>
          <w:sz w:val="24"/>
          <w:szCs w:val="24"/>
        </w:rPr>
        <w:t xml:space="preserve"> despesas realizadas fora do prazo de aplicação;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74A2B10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 xml:space="preserve">atender</w:t>
      </w:r>
      <w:r>
        <w:rPr>
          <w:rFonts w:ascii="Arial" w:hAnsi="Arial" w:cs="Arial"/>
          <w:sz w:val="24"/>
          <w:szCs w:val="24"/>
        </w:rPr>
        <w:t xml:space="preserve"> a despesas distintas das suas finalidades.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F754756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83A23FD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16.</w:t>
      </w:r>
      <w:r>
        <w:rPr>
          <w:rFonts w:ascii="Arial" w:hAnsi="Arial" w:cs="Arial"/>
          <w:b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A Câmara Municipal de Franco da Rocha fica responsável: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3DAEB7E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46C3632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 - </w:t>
      </w:r>
      <w:r>
        <w:rPr>
          <w:rFonts w:ascii="Arial" w:hAnsi="Arial" w:cs="Arial"/>
          <w:sz w:val="24"/>
          <w:szCs w:val="24"/>
        </w:rPr>
        <w:t xml:space="preserve">pela</w:t>
      </w:r>
      <w:r>
        <w:rPr>
          <w:rFonts w:ascii="Arial" w:hAnsi="Arial" w:cs="Arial"/>
          <w:sz w:val="24"/>
          <w:szCs w:val="24"/>
        </w:rPr>
        <w:t xml:space="preserve"> abertura de </w:t>
      </w:r>
      <w:r>
        <w:rPr>
          <w:rFonts w:ascii="Arial" w:hAnsi="Arial" w:cs="Arial"/>
          <w:sz w:val="24"/>
          <w:szCs w:val="24"/>
        </w:rPr>
        <w:t xml:space="preserve">conta-corrente</w:t>
      </w:r>
      <w:r>
        <w:rPr>
          <w:rFonts w:ascii="Arial" w:hAnsi="Arial" w:cs="Arial"/>
          <w:sz w:val="24"/>
          <w:szCs w:val="24"/>
        </w:rPr>
        <w:t xml:space="preserve"> de relacionamento/suprimento de fundos vinculada ao Centro de Custos “Despesas </w:t>
      </w:r>
      <w:r>
        <w:rPr>
          <w:rFonts w:ascii="Arial" w:hAnsi="Arial" w:cs="Arial"/>
          <w:sz w:val="24"/>
          <w:szCs w:val="24"/>
        </w:rPr>
        <w:t xml:space="preserve">de Pronto Pagamento”, da Unidade de Governo, cujos valores depositados serão o somatório de todos os créditos concedidos individualmente aos portadores, via ordem bancária, permanecendo os saldos remanescentes em aplicação financeira de resgate automático;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E326903" w14:textId="7F1BB142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 - </w:t>
      </w:r>
      <w:r>
        <w:rPr>
          <w:rFonts w:ascii="Arial" w:hAnsi="Arial" w:cs="Arial"/>
          <w:sz w:val="24"/>
          <w:szCs w:val="24"/>
        </w:rPr>
        <w:t xml:space="preserve">pelo</w:t>
      </w:r>
      <w:r>
        <w:rPr>
          <w:rFonts w:ascii="Arial" w:hAnsi="Arial" w:cs="Arial"/>
          <w:sz w:val="24"/>
          <w:szCs w:val="24"/>
        </w:rPr>
        <w:t xml:space="preserve"> controle dos adiantamentos via Cartão de Pagamento do Legislativo Municipal.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EF3863D" w14:textId="77777777">
      <w:pPr>
        <w:pBdr/>
        <w:shd w:val="clear" w:color="auto" w:fill="ffffff"/>
        <w:spacing w:line="360" w:lineRule="auto"/>
        <w:ind w:firstLine="226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F71863B" w14:textId="77777777">
      <w:pPr>
        <w:pBdr/>
        <w:shd w:val="clear" w:color="auto" w:fill="ffffff"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CAPITULO III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41378EDA" w14:textId="77777777">
      <w:pPr>
        <w:pBdr/>
        <w:shd w:val="clear" w:color="auto" w:fill="ffffff"/>
        <w:spacing w:line="36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 PRESTAÇÃO DE CONTAS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D31DDCE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28F0708C" w14:textId="49F298BF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17. </w:t>
      </w:r>
      <w:r>
        <w:rPr>
          <w:rFonts w:ascii="Arial" w:hAnsi="Arial" w:cs="Arial"/>
          <w:sz w:val="24"/>
          <w:szCs w:val="24"/>
        </w:rPr>
        <w:t xml:space="preserve">A prestação de contas será acompanhada por sistema que permita a gestão de riscos, a transparência e o controle prévio e concomitante, nos termos do art. 169 da Lei Federal n</w:t>
      </w:r>
      <w:r>
        <w:rPr>
          <w:rFonts w:ascii="Arial" w:hAnsi="Arial" w:cs="Arial"/>
          <w:sz w:val="24"/>
          <w:szCs w:val="24"/>
        </w:rPr>
        <w:t xml:space="preserve">º</w:t>
      </w:r>
      <w:r>
        <w:rPr>
          <w:rFonts w:ascii="Arial" w:hAnsi="Arial" w:cs="Arial"/>
          <w:sz w:val="24"/>
          <w:szCs w:val="24"/>
        </w:rPr>
        <w:t xml:space="preserve"> 14.133/21.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0005FA1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B1DF38D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único.</w:t>
      </w:r>
      <w:r>
        <w:rPr>
          <w:rFonts w:ascii="Arial" w:hAnsi="Arial" w:cs="Arial"/>
          <w:b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A utilização do Cartão de Pagamento deverá ser realizada na função crédito.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301EF1A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FEC096B" w14:textId="34F5B6EA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18.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adiantamento por meio de Cartão de Pagamento deverá conter expressa autorização do ordenador de despesas ou por ele designado e libera</w:t>
      </w:r>
      <w:r>
        <w:rPr>
          <w:rFonts w:ascii="Arial" w:hAnsi="Arial" w:cs="Arial"/>
          <w:sz w:val="24"/>
          <w:szCs w:val="24"/>
        </w:rPr>
        <w:t xml:space="preserve">do pelo </w:t>
      </w: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residente da Câmara.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88EDE43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65C8012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</w:t>
      </w:r>
      <w:r>
        <w:rPr>
          <w:rFonts w:ascii="Arial" w:hAnsi="Arial" w:cs="Arial"/>
          <w:b/>
          <w:sz w:val="24"/>
          <w:szCs w:val="24"/>
        </w:rPr>
        <w:t xml:space="preserve">9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A prestação de contas do adiantamento será apresentada à Contabilidade em</w:t>
      </w:r>
      <w:r>
        <w:rPr>
          <w:rFonts w:ascii="Arial" w:hAnsi="Arial" w:cs="Arial"/>
          <w:sz w:val="24"/>
          <w:szCs w:val="24"/>
        </w:rPr>
        <w:t xml:space="preserve"> até 5 (cinco) dias úteis contados do vencimento do prazo fixado para sua aplicação ou da total aplicação dos recursos, ou do 1º (primeiro) dia útil após a data em que o suprido tomar conhecimento do cancelamento do adiantamento pelo ordenador de despesas.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3798726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E5DD8CF" w14:textId="11E95262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saldo de adiantamento porventura existente retornará à conta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Câmara Municipal, automaticamente, quando da prestação de contas</w:t>
      </w:r>
      <w:r>
        <w:rPr>
          <w:rFonts w:ascii="Arial" w:hAnsi="Arial" w:cs="Arial"/>
          <w:sz w:val="24"/>
          <w:szCs w:val="24"/>
        </w:rPr>
        <w:t xml:space="preserve"> ou em final de exercício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7F3AD24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0AFF757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20.</w:t>
      </w:r>
      <w:r>
        <w:rPr>
          <w:rFonts w:ascii="Arial" w:hAnsi="Arial" w:cs="Arial"/>
          <w:sz w:val="24"/>
          <w:szCs w:val="24"/>
        </w:rPr>
        <w:t xml:space="preserve">  Findo o prazo de que trata o artigo anterior sem a devida prestação de contas, o suprido será notificado para fins de comprovação do adiantamento ou devolução ao erário do montante não comprovado ou glosado.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3741E5C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D02E3B3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21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  </w:t>
      </w:r>
      <w:r>
        <w:rPr>
          <w:rFonts w:ascii="Arial" w:hAnsi="Arial" w:cs="Arial"/>
          <w:sz w:val="24"/>
          <w:szCs w:val="24"/>
        </w:rPr>
        <w:t xml:space="preserve">Deverá constar da Prestação de Contas: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43113D9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95F9EB9" w14:textId="1221CC05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 - </w:t>
      </w:r>
      <w:r>
        <w:rPr>
          <w:rFonts w:ascii="Arial" w:hAnsi="Arial" w:cs="Arial"/>
          <w:sz w:val="24"/>
          <w:szCs w:val="24"/>
        </w:rPr>
        <w:t xml:space="preserve">para</w:t>
      </w:r>
      <w:r>
        <w:rPr>
          <w:rFonts w:ascii="Arial" w:hAnsi="Arial" w:cs="Arial"/>
          <w:sz w:val="24"/>
          <w:szCs w:val="24"/>
        </w:rPr>
        <w:t xml:space="preserve"> serviços de pessoa física, recibo emitido pelo prestador do serviço, com os respectivos CPF, RG e comprovante de residência, datado e assinado, em nome da Câmara Municipal de </w:t>
      </w:r>
      <w:r>
        <w:rPr>
          <w:rFonts w:ascii="Arial" w:hAnsi="Arial" w:cs="Arial"/>
          <w:sz w:val="24"/>
          <w:szCs w:val="24"/>
        </w:rPr>
        <w:t xml:space="preserve">Franco da Rocha</w:t>
      </w:r>
      <w:r>
        <w:rPr>
          <w:rFonts w:ascii="Arial" w:hAnsi="Arial" w:cs="Arial"/>
          <w:sz w:val="24"/>
          <w:szCs w:val="24"/>
        </w:rPr>
        <w:t xml:space="preserve">, através do portador do Cartão, acompanhado obrigatoriamente do comprovante de retenção do ISS, salvo em caso de valores irrelevantes ou de não incidência;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1C34129" w14:textId="52437C1C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 - </w:t>
      </w:r>
      <w:r>
        <w:rPr>
          <w:rFonts w:ascii="Arial" w:hAnsi="Arial" w:cs="Arial"/>
          <w:sz w:val="24"/>
          <w:szCs w:val="24"/>
        </w:rPr>
        <w:t xml:space="preserve">para</w:t>
      </w:r>
      <w:r>
        <w:rPr>
          <w:rFonts w:ascii="Arial" w:hAnsi="Arial" w:cs="Arial"/>
          <w:sz w:val="24"/>
          <w:szCs w:val="24"/>
        </w:rPr>
        <w:t xml:space="preserve"> aquisição de bens e prestação de serviços de pessoa jurídica, cupom fiscal ou nota fiscal em nome da Câmara do Município de </w:t>
      </w:r>
      <w:r>
        <w:rPr>
          <w:rFonts w:ascii="Arial" w:hAnsi="Arial" w:cs="Arial"/>
          <w:sz w:val="24"/>
          <w:szCs w:val="24"/>
        </w:rPr>
        <w:t xml:space="preserve">Franco da Rocha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 indicação expressa de que o pagamento foi efetuado ou acompanhado de recibo.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1A565540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299571B3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22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Os comprovantes que não se revestirem dos requisitos legais e pagamentos efetuados em desacordo com a finalidade a que se destinou o adiantamento, serão glosados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20A9A776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98F47A2" w14:textId="7211C3F6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</w:t>
      </w:r>
      <w:r>
        <w:rPr>
          <w:rFonts w:ascii="Arial" w:hAnsi="Arial" w:cs="Arial"/>
          <w:b/>
          <w:sz w:val="24"/>
          <w:szCs w:val="24"/>
        </w:rPr>
        <w:t xml:space="preserve">3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Na hipótese de glosa parcial ou total, considerar-se-á em alcance o servidor, sem prejuízo da apuração de sua responsabilidade, assegurada ampla defesa.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E97A150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FD59CB6" w14:textId="0A14581A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§1</w:t>
      </w:r>
      <w:r>
        <w:rPr>
          <w:rFonts w:ascii="Arial" w:hAnsi="Arial" w:cs="Arial"/>
          <w:b/>
          <w:sz w:val="24"/>
          <w:szCs w:val="24"/>
        </w:rPr>
        <w:t xml:space="preserve">º</w:t>
      </w:r>
      <w:r>
        <w:rPr>
          <w:rFonts w:ascii="Arial" w:hAnsi="Arial" w:cs="Arial"/>
          <w:sz w:val="24"/>
          <w:szCs w:val="24"/>
        </w:rPr>
        <w:t xml:space="preserve"> Configurada a ausência de prestação de contas, deverão ser tomadas providências relativas à sustação da entrega de numer</w:t>
      </w:r>
      <w:r>
        <w:rPr>
          <w:rFonts w:ascii="Arial" w:hAnsi="Arial" w:cs="Arial"/>
          <w:sz w:val="24"/>
          <w:szCs w:val="24"/>
        </w:rPr>
        <w:t xml:space="preserve">ário aos responsáveis em falta/</w:t>
      </w:r>
      <w:r>
        <w:rPr>
          <w:rFonts w:ascii="Arial" w:hAnsi="Arial" w:cs="Arial"/>
          <w:sz w:val="24"/>
          <w:szCs w:val="24"/>
        </w:rPr>
        <w:t xml:space="preserve">mora.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9848F59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E7A8871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§2</w:t>
      </w:r>
      <w:r>
        <w:rPr>
          <w:rFonts w:ascii="Arial" w:hAnsi="Arial" w:cs="Arial"/>
          <w:b/>
          <w:sz w:val="24"/>
          <w:szCs w:val="24"/>
        </w:rPr>
        <w:t xml:space="preserve">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liberação de novos adiantamentos somente poderá ocorrer depois da entrega da prestação de contas em atraso feita pelo responsável ou, se for o caso, do atendimento às notificações quanto a sua regularização.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92B9C18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268D218" w14:textId="42417FE6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24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Os processos de prestação de contas de adiantamentos serão autuados, física ou eletronicamente, nos órgãos de origem e conterão: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3D208FA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DCE3F26" w14:textId="755BDA08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 xml:space="preserve"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cópia(</w:t>
      </w:r>
      <w:r>
        <w:rPr>
          <w:rFonts w:ascii="Arial" w:hAnsi="Arial" w:cs="Arial"/>
          <w:sz w:val="24"/>
          <w:szCs w:val="24"/>
        </w:rPr>
        <w:t xml:space="preserve">s) da(s) nota(s) de empenho vinculada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(s) ao adiantamento;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61C7217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- </w:t>
      </w:r>
      <w:r>
        <w:rPr>
          <w:rFonts w:ascii="Arial" w:hAnsi="Arial" w:cs="Arial"/>
          <w:sz w:val="24"/>
          <w:szCs w:val="24"/>
        </w:rPr>
        <w:t xml:space="preserve">autorização</w:t>
      </w:r>
      <w:r>
        <w:rPr>
          <w:rFonts w:ascii="Arial" w:hAnsi="Arial" w:cs="Arial"/>
          <w:sz w:val="24"/>
          <w:szCs w:val="24"/>
        </w:rPr>
        <w:t xml:space="preserve"> para prorrogação do prazo de aplicação, se for o caso;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3C925D6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</w:t>
      </w:r>
      <w:r>
        <w:rPr>
          <w:rFonts w:ascii="Arial" w:hAnsi="Arial" w:cs="Arial"/>
          <w:sz w:val="24"/>
          <w:szCs w:val="24"/>
        </w:rPr>
        <w:t xml:space="preserve">documento comprobatório da anulação do saldo de adiantamento não utilizado, se houver;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7FF5812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- </w:t>
      </w:r>
      <w:r>
        <w:rPr>
          <w:rFonts w:ascii="Arial" w:hAnsi="Arial" w:cs="Arial"/>
          <w:sz w:val="24"/>
          <w:szCs w:val="24"/>
        </w:rPr>
        <w:t xml:space="preserve">comprovante</w:t>
      </w:r>
      <w:r>
        <w:rPr>
          <w:rFonts w:ascii="Arial" w:hAnsi="Arial" w:cs="Arial"/>
          <w:sz w:val="24"/>
          <w:szCs w:val="24"/>
        </w:rPr>
        <w:t xml:space="preserve"> de depósito bancário ou ordem de pagamento do valor não utilizado, se houver;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FD7778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extrato</w:t>
      </w:r>
      <w:r>
        <w:rPr>
          <w:rFonts w:ascii="Arial" w:hAnsi="Arial" w:cs="Arial"/>
          <w:sz w:val="24"/>
          <w:szCs w:val="24"/>
        </w:rPr>
        <w:t xml:space="preserve"> bancário da conta específica para adiantamento;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1DAD789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balancete</w:t>
      </w:r>
      <w:r>
        <w:rPr>
          <w:rFonts w:ascii="Arial" w:hAnsi="Arial" w:cs="Arial"/>
          <w:sz w:val="24"/>
          <w:szCs w:val="24"/>
        </w:rPr>
        <w:t xml:space="preserve"> das despesas;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B922CDF" w14:textId="72489142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VII </w:t>
      </w:r>
      <w:r>
        <w:rPr>
          <w:rFonts w:ascii="Arial" w:hAnsi="Arial" w:cs="Arial"/>
          <w:sz w:val="24"/>
          <w:szCs w:val="24"/>
        </w:rPr>
        <w:t xml:space="preserve">- comprovantes originais das despesas, contendo declaração do responsável pelo recebimento do material ou serviço, quando for o caso;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4F97A06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19ECCF6" w14:textId="7D7C221E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</w:t>
      </w:r>
      <w:r>
        <w:rPr>
          <w:rFonts w:ascii="Arial" w:hAnsi="Arial" w:cs="Arial"/>
          <w:b/>
          <w:sz w:val="24"/>
          <w:szCs w:val="24"/>
        </w:rPr>
        <w:t xml:space="preserve">1º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processos versando sobre prestação de contas de adiantamento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 autuados deverão ser conservados até cinco anos após o julgamento das contas do exercício.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E35E278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1103EC12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</w:t>
      </w:r>
      <w:r>
        <w:rPr>
          <w:rFonts w:ascii="Arial" w:hAnsi="Arial" w:cs="Arial"/>
          <w:b/>
          <w:sz w:val="24"/>
          <w:szCs w:val="24"/>
        </w:rPr>
        <w:t xml:space="preserve">2º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se tratando de processos autuados eletronica</w:t>
      </w:r>
      <w:r>
        <w:rPr>
          <w:rFonts w:ascii="Arial" w:hAnsi="Arial" w:cs="Arial"/>
          <w:sz w:val="24"/>
          <w:szCs w:val="24"/>
        </w:rPr>
        <w:t xml:space="preserve">mente</w:t>
      </w:r>
      <w:r>
        <w:rPr>
          <w:rFonts w:ascii="Arial" w:hAnsi="Arial" w:cs="Arial"/>
          <w:sz w:val="24"/>
          <w:szCs w:val="24"/>
        </w:rPr>
        <w:t xml:space="preserve">, os documentos eletrônicos deverão estar assinados digitalmente pelo seu autor, nos termos da legislação vige</w:t>
      </w:r>
      <w:r>
        <w:rPr>
          <w:rFonts w:ascii="Arial" w:hAnsi="Arial" w:cs="Arial"/>
          <w:sz w:val="24"/>
          <w:szCs w:val="24"/>
        </w:rPr>
        <w:t xml:space="preserve">nte, como garantia do conteúdo e da identificação de seu signatário, ressaltando que os documentos originais das despesas que, digitalizados, compuseram referidos processos, deverão ser conservados até cinco anos após o julgamento das contas do exercício.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CEED294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1E8C5954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25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concessão e utilização dos recursos de adiantamentos, deverão ser observados: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580B3EF" w14:textId="6CC2EB3D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-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verba de adiantamento somente deverá ser concedida a servidor</w:t>
      </w:r>
      <w:r>
        <w:rPr>
          <w:rFonts w:ascii="Arial" w:hAnsi="Arial" w:cs="Arial"/>
          <w:sz w:val="24"/>
          <w:szCs w:val="24"/>
        </w:rPr>
        <w:t xml:space="preserve"> efetivo</w:t>
      </w:r>
      <w:r>
        <w:rPr>
          <w:rFonts w:ascii="Arial" w:hAnsi="Arial" w:cs="Arial"/>
          <w:sz w:val="24"/>
          <w:szCs w:val="24"/>
        </w:rPr>
        <w:t xml:space="preserve">, e não a agente político;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4B7D93F8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- </w:t>
      </w:r>
      <w:r>
        <w:rPr>
          <w:rFonts w:ascii="Arial" w:hAnsi="Arial" w:cs="Arial"/>
          <w:sz w:val="24"/>
          <w:szCs w:val="24"/>
        </w:rPr>
        <w:t xml:space="preserve">somente</w:t>
      </w:r>
      <w:r>
        <w:rPr>
          <w:rFonts w:ascii="Arial" w:hAnsi="Arial" w:cs="Arial"/>
          <w:sz w:val="24"/>
          <w:szCs w:val="24"/>
        </w:rPr>
        <w:t xml:space="preserve"> serão admitidos comprovantes das despesas realizadas dentro dos prazos de aplicação estabelecidos em lei e que primem pela modicidade, em obediência aos princípios constitucionais da economicidade e legitimidade;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2CB5AB71" w14:textId="43F2FB8D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numerário correspondente aos adiantamentos deverá permanecer depositado em instituição bancária oficial, em conta específica, enquanto não aplicado;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2DD8CE07" w14:textId="241EF130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</w:t>
      </w:r>
      <w:r>
        <w:rPr>
          <w:rFonts w:ascii="Arial" w:hAnsi="Arial" w:cs="Arial"/>
          <w:b/>
          <w:sz w:val="24"/>
          <w:szCs w:val="24"/>
        </w:rPr>
        <w:t xml:space="preserve"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todas </w:t>
      </w:r>
      <w:r>
        <w:rPr>
          <w:rFonts w:ascii="Arial" w:hAnsi="Arial" w:cs="Arial"/>
          <w:sz w:val="24"/>
          <w:szCs w:val="24"/>
        </w:rPr>
        <w:t xml:space="preserve">as</w:t>
      </w:r>
      <w:r>
        <w:rPr>
          <w:rFonts w:ascii="Arial" w:hAnsi="Arial" w:cs="Arial"/>
          <w:sz w:val="24"/>
          <w:szCs w:val="24"/>
        </w:rPr>
        <w:t xml:space="preserve"> despesas serão documentadas e deverão enquadrar-se nas categorias econômicas próprias, de acordo com a classificação orçamentária;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F44F9A7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os</w:t>
      </w:r>
      <w:r>
        <w:rPr>
          <w:rFonts w:ascii="Arial" w:hAnsi="Arial" w:cs="Arial"/>
          <w:sz w:val="24"/>
          <w:szCs w:val="24"/>
        </w:rPr>
        <w:t xml:space="preserve"> comprovantes deverão discriminar as des</w:t>
      </w:r>
      <w:r>
        <w:rPr>
          <w:rFonts w:ascii="Arial" w:hAnsi="Arial" w:cs="Arial"/>
          <w:sz w:val="24"/>
          <w:szCs w:val="24"/>
        </w:rPr>
        <w:t xml:space="preserve">pesas efetuadas, constando nos autos, obrigatoriamente, prova de que foram realizadas de forma motivada, autorizadas por quem de direito, mediante originais das notas e cupons fiscais; igualmente, os recibos de serviço de pessoa física devem identificar o </w:t>
      </w:r>
      <w:r>
        <w:rPr>
          <w:rFonts w:ascii="Arial" w:hAnsi="Arial" w:cs="Arial"/>
          <w:sz w:val="24"/>
          <w:szCs w:val="24"/>
        </w:rPr>
        <w:t xml:space="preserve">prestador qualificando-o com nome, endereço, RG, CPF, nº de inscrição no INSS e nº de inscrição no ISS;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5757F23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 - </w:t>
      </w:r>
      <w:r>
        <w:rPr>
          <w:rFonts w:ascii="Arial" w:hAnsi="Arial" w:cs="Arial"/>
          <w:sz w:val="24"/>
          <w:szCs w:val="24"/>
        </w:rPr>
        <w:t xml:space="preserve">os</w:t>
      </w:r>
      <w:r>
        <w:rPr>
          <w:rFonts w:ascii="Arial" w:hAnsi="Arial" w:cs="Arial"/>
          <w:sz w:val="24"/>
          <w:szCs w:val="24"/>
        </w:rPr>
        <w:t xml:space="preserve"> documentos não deverão conter alterações, rasuras, emendas ou entrelinhas que prejudiquem a sua clareza ou legitimidade.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B08F415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06FD779" w14:textId="52177595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26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prestações de contas de adiantamentos recebidos em virtude de crédito especial ou extraordinário deverão fazer referência à lei ou ao decreto respectivo, bem como à prorrogação de vigência, se houver.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B2EE75B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215E2CD" w14:textId="6906C95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</w:t>
      </w:r>
      <w:r>
        <w:rPr>
          <w:rFonts w:ascii="Arial" w:hAnsi="Arial" w:cs="Arial"/>
          <w:b/>
          <w:sz w:val="24"/>
          <w:szCs w:val="24"/>
        </w:rPr>
        <w:t xml:space="preserve">7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As despesas decorrentes da execução desta </w:t>
      </w:r>
      <w:r>
        <w:rPr>
          <w:rFonts w:ascii="Arial" w:hAnsi="Arial" w:cs="Arial"/>
          <w:sz w:val="24"/>
          <w:szCs w:val="24"/>
        </w:rPr>
        <w:t xml:space="preserve">Lei</w:t>
      </w:r>
      <w:r>
        <w:rPr>
          <w:rFonts w:ascii="Arial" w:hAnsi="Arial" w:cs="Arial"/>
          <w:sz w:val="24"/>
          <w:szCs w:val="24"/>
        </w:rPr>
        <w:t xml:space="preserve"> correrão por conta de dotações orçamentárias próprias, suplementadas, se necessário.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8A4819F" w14:textId="77777777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A686E08" w14:textId="4082072A">
      <w:pPr>
        <w:pBdr/>
        <w:shd w:val="clear" w:color="auto" w:fill="ffffff"/>
        <w:spacing w:line="360" w:lineRule="auto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</w:t>
      </w:r>
      <w:r>
        <w:rPr>
          <w:rFonts w:ascii="Arial" w:hAnsi="Arial" w:cs="Arial"/>
          <w:b/>
          <w:sz w:val="24"/>
          <w:szCs w:val="24"/>
        </w:rPr>
        <w:t xml:space="preserve">8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Esta Lei entra em vigor na data de sua publicação, revogando-se as disposições em</w:t>
      </w:r>
      <w:r>
        <w:rPr>
          <w:rFonts w:ascii="Arial" w:hAnsi="Arial" w:cs="Arial"/>
          <w:sz w:val="24"/>
          <w:szCs w:val="24"/>
        </w:rPr>
        <w:t xml:space="preserve"> contrário, especialmente a Lei </w:t>
      </w:r>
      <w:r>
        <w:rPr>
          <w:rFonts w:ascii="Arial" w:hAnsi="Arial" w:cs="Arial"/>
          <w:sz w:val="24"/>
          <w:szCs w:val="24"/>
        </w:rPr>
        <w:t xml:space="preserve">nº 1.418, de 30 de setembro de 2019.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351E91E" w14:textId="7811E18B">
      <w:pPr>
        <w:pBdr/>
        <w:shd w:val="clear" w:color="auto" w:fill="ffffff"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1068CE7" w14:textId="555955F4">
      <w:pPr>
        <w:pBdr/>
        <w:shd w:val="clear" w:color="auto" w:fill="ffffff"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Vereador Gilson Gabriel da Rosa, 23 de fevereiro de 2025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F435A2A" w14:textId="35E6E602">
      <w:pPr>
        <w:pBdr/>
        <w:shd w:val="clear" w:color="auto" w:fill="ffffff"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612B204" w14:textId="77777777">
      <w:pPr>
        <w:pBdr/>
        <w:shd w:val="clear" w:color="auto" w:fill="ffffff"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8691749" w14:textId="77777777">
      <w:pPr>
        <w:widowControl w:val="false"/>
        <w:pBdr/>
        <w:spacing/>
        <w:ind/>
        <w:jc w:val="center"/>
        <w:rPr>
          <w:rFonts w:ascii="Arial" w:hAnsi="Arial" w:eastAsia="Lucida Sans Unicode" w:cs="Arial"/>
          <w:b/>
          <w:bCs/>
          <w:sz w:val="24"/>
          <w:szCs w:val="24"/>
        </w:rPr>
      </w:pPr>
      <w:r>
        <w:rPr>
          <w:rFonts w:ascii="Arial" w:hAnsi="Arial" w:eastAsia="Lucida Sans Unicode" w:cs="Arial"/>
          <w:b/>
          <w:bCs/>
          <w:sz w:val="24"/>
          <w:szCs w:val="24"/>
        </w:rPr>
        <w:t xml:space="preserve">THIAGO ROBERTO ATHADEMOS SEIXAS</w:t>
      </w:r>
      <w:r>
        <w:rPr>
          <w:rFonts w:ascii="Arial" w:hAnsi="Arial" w:eastAsia="Lucida Sans Unicode" w:cs="Arial"/>
          <w:b/>
          <w:bCs/>
          <w:sz w:val="24"/>
          <w:szCs w:val="24"/>
        </w:rPr>
      </w:r>
      <w:r>
        <w:rPr>
          <w:rFonts w:ascii="Arial" w:hAnsi="Arial" w:eastAsia="Lucida Sans Unicode" w:cs="Arial"/>
          <w:b/>
          <w:bCs/>
          <w:sz w:val="24"/>
          <w:szCs w:val="24"/>
        </w:rPr>
      </w:r>
    </w:p>
    <w:p w14:paraId="52AF413B" w14:textId="07EB41DA">
      <w:pPr>
        <w:widowControl w:val="false"/>
        <w:pBdr/>
        <w:tabs>
          <w:tab w:val="center" w:leader="none" w:pos="4394"/>
          <w:tab w:val="left" w:leader="none" w:pos="5805"/>
        </w:tabs>
        <w:spacing/>
        <w:ind/>
        <w:jc w:val="left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  <w:tab/>
      </w:r>
      <w:r>
        <w:rPr>
          <w:rFonts w:ascii="Arial" w:hAnsi="Arial" w:eastAsia="Lucida Sans Unicode" w:cs="Arial"/>
          <w:sz w:val="24"/>
          <w:szCs w:val="24"/>
        </w:rPr>
        <w:t xml:space="preserve">Presidente</w:t>
      </w:r>
      <w:r>
        <w:rPr>
          <w:rFonts w:ascii="Arial" w:hAnsi="Arial" w:eastAsia="Lucida Sans Unicode" w:cs="Arial"/>
          <w:sz w:val="24"/>
          <w:szCs w:val="24"/>
        </w:rPr>
        <w:tab/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 w14:paraId="28665BFC" w14:textId="77777777">
      <w:pPr>
        <w:widowControl w:val="false"/>
        <w:pBdr/>
        <w:spacing/>
        <w:ind/>
        <w:jc w:val="center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 w14:paraId="79E3AD6F" w14:textId="77777777">
      <w:pPr>
        <w:widowControl w:val="false"/>
        <w:pBdr/>
        <w:spacing/>
        <w:ind/>
        <w:jc w:val="center"/>
        <w:rPr>
          <w:rFonts w:ascii="Arial" w:hAnsi="Arial" w:eastAsia="Lucida Sans Unicode" w:cs="Arial"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  <w:r>
        <w:rPr>
          <w:rFonts w:ascii="Arial" w:hAnsi="Arial" w:eastAsia="Lucida Sans Unicode" w:cs="Arial"/>
          <w:sz w:val="24"/>
          <w:szCs w:val="24"/>
        </w:rPr>
      </w:r>
    </w:p>
    <w:p w14:paraId="2E8161D4" w14:textId="77777777">
      <w:pPr>
        <w:widowControl w:val="false"/>
        <w:pBdr/>
        <w:spacing/>
        <w:ind/>
        <w:jc w:val="left"/>
        <w:rPr>
          <w:rFonts w:ascii="Arial" w:hAnsi="Arial" w:eastAsia="Lucida Sans Unicode" w:cs="Arial"/>
          <w:b/>
          <w:sz w:val="24"/>
          <w:szCs w:val="24"/>
        </w:rPr>
      </w:pPr>
      <w:r>
        <w:rPr>
          <w:rFonts w:ascii="Arial" w:hAnsi="Arial" w:eastAsia="Lucida Sans Unicode" w:cs="Arial"/>
          <w:b/>
          <w:sz w:val="24"/>
          <w:szCs w:val="24"/>
        </w:rPr>
        <w:t xml:space="preserve">MARCOS ROBERTO SOARES ANDRADE     REGINALDO MUNIZ TEIXEIRA</w:t>
      </w:r>
      <w:r>
        <w:rPr>
          <w:rFonts w:ascii="Arial" w:hAnsi="Arial" w:eastAsia="Lucida Sans Unicode" w:cs="Arial"/>
          <w:b/>
          <w:sz w:val="24"/>
          <w:szCs w:val="24"/>
        </w:rPr>
      </w:r>
      <w:r>
        <w:rPr>
          <w:rFonts w:ascii="Arial" w:hAnsi="Arial" w:eastAsia="Lucida Sans Unicode" w:cs="Arial"/>
          <w:b/>
          <w:sz w:val="24"/>
          <w:szCs w:val="24"/>
        </w:rPr>
      </w:r>
    </w:p>
    <w:p w14:paraId="06D5AE91" w14:textId="1580DA9C">
      <w:pPr>
        <w:pBdr/>
        <w:shd w:val="clear" w:color="auto" w:fill="ffffff"/>
        <w:spacing w:line="360" w:lineRule="auto"/>
        <w:ind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eastAsia="Lucida Sans Unicode" w:cs="Arial"/>
          <w:sz w:val="24"/>
          <w:szCs w:val="24"/>
        </w:rPr>
        <w:t xml:space="preserve">                   </w:t>
      </w:r>
      <w:r>
        <w:rPr>
          <w:rFonts w:ascii="Arial" w:hAnsi="Arial" w:eastAsia="Lucida Sans Unicode" w:cs="Arial"/>
          <w:sz w:val="24"/>
          <w:szCs w:val="24"/>
        </w:rPr>
        <w:t xml:space="preserve">1º Secretário </w:t>
      </w:r>
      <w:r>
        <w:rPr>
          <w:rFonts w:ascii="Arial" w:hAnsi="Arial" w:eastAsia="Lucida Sans Unicode" w:cs="Arial"/>
          <w:sz w:val="24"/>
          <w:szCs w:val="24"/>
        </w:rPr>
        <w:tab/>
      </w:r>
      <w:r>
        <w:rPr>
          <w:rFonts w:ascii="Arial" w:hAnsi="Arial" w:eastAsia="Lucida Sans Unicode" w:cs="Arial"/>
          <w:sz w:val="24"/>
          <w:szCs w:val="24"/>
        </w:rPr>
        <w:t xml:space="preserve">             </w:t>
      </w:r>
      <w:r>
        <w:rPr>
          <w:rFonts w:ascii="Arial" w:hAnsi="Arial" w:eastAsia="Lucida Sans Unicode" w:cs="Arial"/>
          <w:sz w:val="24"/>
          <w:szCs w:val="24"/>
        </w:rPr>
        <w:t xml:space="preserve">                                 2º Secretário</w:t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38" w:orient="portrait" w:w="11906"/>
      <w:pgMar w:top="3119" w:right="1274" w:bottom="993" w:left="1701" w:header="1134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486D4B2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D91C812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er Hand ITC">
    <w:panose1 w:val="030F0702030302020204"/>
  </w:font>
  <w:font w:name="Maiandra GD">
    <w:panose1 w:val="020F0502020204030204"/>
  </w:font>
  <w:font w:name="Segoe UI">
    <w:panose1 w:val="020B0502040504020204"/>
  </w:font>
  <w:font w:name="Lucida Sans Unicode">
    <w:panose1 w:val="020B0603030804020204"/>
  </w:font>
  <w:font w:name="Tahoma">
    <w:panose1 w:val="020B0604030504040204"/>
  </w:font>
  <w:font w:name="StarSymbol">
    <w:panose1 w:val="020B060303080402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F706CE4" w14:textId="098610EC">
    <w:pPr>
      <w:pStyle w:val="981"/>
      <w:pBdr/>
      <w:spacing/>
      <w:ind/>
      <w:jc w:val="right"/>
      <w:rPr>
        <w:rFonts w:ascii="Viner Hand ITC" w:hAnsi="Viner Hand ITC"/>
        <w:b/>
        <w:color w:val="000000"/>
        <w:sz w:val="12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</w:rPr>
    </w:pPr>
    <w:r>
      <w:rPr>
        <w:rFonts w:ascii="Viner Hand ITC" w:hAnsi="Viner Hand ITC"/>
        <w:b/>
        <w:color w:val="000000"/>
        <w:sz w:val="12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</w:rPr>
    </w:r>
    <w:r>
      <w:rPr>
        <w:rFonts w:ascii="Viner Hand ITC" w:hAnsi="Viner Hand ITC"/>
        <w:b/>
        <w:color w:val="000000"/>
        <w:sz w:val="12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</w:rPr>
    </w:r>
    <w:r>
      <w:rPr>
        <w:rFonts w:ascii="Viner Hand ITC" w:hAnsi="Viner Hand ITC"/>
        <w:b/>
        <w:color w:val="000000"/>
        <w:sz w:val="12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5EB27F2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3AFE3C5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A8352FA" w14:textId="77777777">
    <w:pPr>
      <w:pStyle w:val="98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 w14:paraId="7B133362" w14:textId="77777777">
    <w:pPr>
      <w:pStyle w:val="980"/>
      <w:pBdr>
        <w:bottom w:val="single" w:color="000000" w:sz="1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 w14:paraId="27F0D7F0" w14:textId="77777777">
    <w:pPr>
      <w:pStyle w:val="98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 w14:paraId="6A5EC07B" w14:textId="56CCAA30">
    <w:pPr>
      <w:pStyle w:val="98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</w:t>
    </w:r>
    <w:r>
      <w:rPr>
        <w:rFonts w:ascii="Maiandra GD" w:hAnsi="Maiandra GD"/>
        <w:b/>
        <w:sz w:val="20"/>
      </w:rPr>
      <w:t xml:space="preserve">       </w:t>
    </w:r>
    <w:r>
      <w:rPr>
        <w:rFonts w:ascii="Maiandra GD" w:hAnsi="Maiandra GD"/>
        <w:b/>
        <w:sz w:val="20"/>
      </w:rPr>
      <w:t xml:space="preserve">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73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 w14:paraId="500B2BD0" w14:textId="77777777">
    <w:pPr>
      <w:pStyle w:val="98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8">
    <w:name w:val="Table Grid"/>
    <w:basedOn w:val="9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 Light"/>
    <w:basedOn w:val="9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4">
    <w:name w:val="Heading 2"/>
    <w:basedOn w:val="957"/>
    <w:next w:val="957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5">
    <w:name w:val="Heading 4"/>
    <w:basedOn w:val="957"/>
    <w:next w:val="957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6">
    <w:name w:val="Heading 7"/>
    <w:basedOn w:val="957"/>
    <w:next w:val="957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7">
    <w:name w:val="Heading 8"/>
    <w:basedOn w:val="957"/>
    <w:next w:val="957"/>
    <w:link w:val="9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8">
    <w:name w:val="Heading 9"/>
    <w:basedOn w:val="957"/>
    <w:next w:val="957"/>
    <w:link w:val="9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1 Char"/>
    <w:basedOn w:val="962"/>
    <w:link w:val="9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0">
    <w:name w:val="Heading 2 Char"/>
    <w:basedOn w:val="962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1">
    <w:name w:val="Heading 3 Char"/>
    <w:basedOn w:val="962"/>
    <w:link w:val="9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2">
    <w:name w:val="Heading 4 Char"/>
    <w:basedOn w:val="962"/>
    <w:link w:val="9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3">
    <w:name w:val="Heading 5 Char"/>
    <w:basedOn w:val="962"/>
    <w:link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4">
    <w:name w:val="Heading 6 Char"/>
    <w:basedOn w:val="962"/>
    <w:link w:val="9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5">
    <w:name w:val="Heading 7 Char"/>
    <w:basedOn w:val="962"/>
    <w:link w:val="9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6">
    <w:name w:val="Heading 8 Char"/>
    <w:basedOn w:val="962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>
    <w:name w:val="Heading 9 Char"/>
    <w:basedOn w:val="962"/>
    <w:link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Title"/>
    <w:basedOn w:val="957"/>
    <w:next w:val="957"/>
    <w:link w:val="9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9">
    <w:name w:val="Title Char"/>
    <w:basedOn w:val="962"/>
    <w:link w:val="9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0">
    <w:name w:val="Subtitle"/>
    <w:basedOn w:val="957"/>
    <w:next w:val="957"/>
    <w:link w:val="9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1">
    <w:name w:val="Subtitle Char"/>
    <w:basedOn w:val="962"/>
    <w:link w:val="9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2">
    <w:name w:val="Quote"/>
    <w:basedOn w:val="957"/>
    <w:next w:val="957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3">
    <w:name w:val="Quote Char"/>
    <w:basedOn w:val="962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List Paragraph"/>
    <w:basedOn w:val="957"/>
    <w:uiPriority w:val="34"/>
    <w:qFormat/>
    <w:pPr>
      <w:pBdr/>
      <w:spacing/>
      <w:ind w:left="720"/>
      <w:contextualSpacing w:val="true"/>
    </w:pPr>
  </w:style>
  <w:style w:type="character" w:styleId="925">
    <w:name w:val="Intense Emphasis"/>
    <w:basedOn w:val="9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6">
    <w:name w:val="Intense Quote"/>
    <w:basedOn w:val="957"/>
    <w:next w:val="957"/>
    <w:link w:val="9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7">
    <w:name w:val="Intense Quote Char"/>
    <w:basedOn w:val="962"/>
    <w:link w:val="9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8">
    <w:name w:val="Intense Reference"/>
    <w:basedOn w:val="9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9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30">
    <w:name w:val="Subtle Emphasis"/>
    <w:basedOn w:val="9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1">
    <w:name w:val="Emphasis"/>
    <w:basedOn w:val="962"/>
    <w:uiPriority w:val="20"/>
    <w:qFormat/>
    <w:pPr>
      <w:pBdr/>
      <w:spacing/>
      <w:ind/>
    </w:pPr>
    <w:rPr>
      <w:i/>
      <w:iCs/>
    </w:rPr>
  </w:style>
  <w:style w:type="character" w:styleId="932">
    <w:name w:val="Strong"/>
    <w:basedOn w:val="962"/>
    <w:uiPriority w:val="22"/>
    <w:qFormat/>
    <w:pPr>
      <w:pBdr/>
      <w:spacing/>
      <w:ind/>
    </w:pPr>
    <w:rPr>
      <w:b/>
      <w:bCs/>
    </w:rPr>
  </w:style>
  <w:style w:type="character" w:styleId="933">
    <w:name w:val="Subtle Reference"/>
    <w:basedOn w:val="9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4">
    <w:name w:val="Book Title"/>
    <w:basedOn w:val="96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5">
    <w:name w:val="Header Char"/>
    <w:basedOn w:val="962"/>
    <w:link w:val="980"/>
    <w:uiPriority w:val="99"/>
    <w:pPr>
      <w:pBdr/>
      <w:spacing/>
      <w:ind/>
    </w:pPr>
  </w:style>
  <w:style w:type="character" w:styleId="936">
    <w:name w:val="Footer Char"/>
    <w:basedOn w:val="962"/>
    <w:link w:val="981"/>
    <w:uiPriority w:val="99"/>
    <w:pPr>
      <w:pBdr/>
      <w:spacing/>
      <w:ind/>
    </w:pPr>
  </w:style>
  <w:style w:type="paragraph" w:styleId="937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8">
    <w:name w:val="footnote text"/>
    <w:basedOn w:val="957"/>
    <w:link w:val="9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9">
    <w:name w:val="Footnote Text Char"/>
    <w:basedOn w:val="962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footnote reference"/>
    <w:basedOn w:val="962"/>
    <w:uiPriority w:val="99"/>
    <w:semiHidden/>
    <w:unhideWhenUsed/>
    <w:pPr>
      <w:pBdr/>
      <w:spacing/>
      <w:ind/>
    </w:pPr>
    <w:rPr>
      <w:vertAlign w:val="superscript"/>
    </w:rPr>
  </w:style>
  <w:style w:type="paragraph" w:styleId="941">
    <w:name w:val="endnote text"/>
    <w:basedOn w:val="957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Endnote Text Char"/>
    <w:basedOn w:val="962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endnote reference"/>
    <w:basedOn w:val="962"/>
    <w:uiPriority w:val="99"/>
    <w:semiHidden/>
    <w:unhideWhenUsed/>
    <w:pPr>
      <w:pBdr/>
      <w:spacing/>
      <w:ind/>
    </w:pPr>
    <w:rPr>
      <w:vertAlign w:val="superscript"/>
    </w:rPr>
  </w:style>
  <w:style w:type="character" w:styleId="944">
    <w:name w:val="FollowedHyperlink"/>
    <w:basedOn w:val="9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46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7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8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9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50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51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52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53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54">
    <w:name w:val="Placeholder Text"/>
    <w:basedOn w:val="962"/>
    <w:uiPriority w:val="99"/>
    <w:semiHidden/>
    <w:pPr>
      <w:pBdr/>
      <w:spacing/>
      <w:ind/>
    </w:pPr>
    <w:rPr>
      <w:color w:val="666666"/>
    </w:r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7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958">
    <w:name w:val="Heading 1"/>
    <w:basedOn w:val="957"/>
    <w:next w:val="957"/>
    <w:qFormat/>
    <w:pPr>
      <w:keepNext w:val="true"/>
      <w:pBdr/>
      <w:spacing/>
      <w:ind/>
      <w:outlineLvl w:val="0"/>
    </w:pPr>
    <w:rPr>
      <w:b/>
    </w:rPr>
  </w:style>
  <w:style w:type="paragraph" w:styleId="959">
    <w:name w:val="Heading 3"/>
    <w:basedOn w:val="957"/>
    <w:next w:val="957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60">
    <w:name w:val="Heading 5"/>
    <w:basedOn w:val="957"/>
    <w:next w:val="957"/>
    <w:qFormat/>
    <w:pPr>
      <w:keepNext w:val="true"/>
      <w:pBdr/>
      <w:spacing/>
      <w:ind/>
      <w:outlineLvl w:val="4"/>
    </w:pPr>
    <w:rPr>
      <w:b/>
      <w:sz w:val="24"/>
    </w:rPr>
  </w:style>
  <w:style w:type="paragraph" w:styleId="961">
    <w:name w:val="Heading 6"/>
    <w:basedOn w:val="957"/>
    <w:next w:val="957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962" w:default="1">
    <w:name w:val="Default Paragraph Font"/>
    <w:uiPriority w:val="1"/>
    <w:semiHidden/>
    <w:unhideWhenUsed/>
    <w:pPr>
      <w:pBdr/>
      <w:spacing/>
      <w:ind/>
    </w:pPr>
  </w:style>
  <w:style w:type="table" w:styleId="96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4" w:default="1">
    <w:name w:val="No List"/>
    <w:uiPriority w:val="99"/>
    <w:semiHidden/>
    <w:unhideWhenUsed/>
    <w:pPr>
      <w:pBdr/>
      <w:spacing/>
      <w:ind/>
    </w:pPr>
  </w:style>
  <w:style w:type="character" w:styleId="965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66" w:customStyle="1">
    <w:name w:val="Absatz-Standardschriftart"/>
    <w:pPr>
      <w:pBdr/>
      <w:spacing/>
      <w:ind/>
    </w:pPr>
  </w:style>
  <w:style w:type="character" w:styleId="967" w:customStyle="1">
    <w:name w:val="WW-Absatz-Standardschriftart"/>
    <w:pPr>
      <w:pBdr/>
      <w:spacing/>
      <w:ind/>
    </w:pPr>
  </w:style>
  <w:style w:type="character" w:styleId="968" w:customStyle="1">
    <w:name w:val="WW-Absatz-Standardschriftart1"/>
    <w:pPr>
      <w:pBdr/>
      <w:spacing/>
      <w:ind/>
    </w:pPr>
  </w:style>
  <w:style w:type="character" w:styleId="969" w:customStyle="1">
    <w:name w:val="WW-Absatz-Standardschriftart11"/>
    <w:pPr>
      <w:pBdr/>
      <w:spacing/>
      <w:ind/>
    </w:pPr>
  </w:style>
  <w:style w:type="character" w:styleId="970" w:customStyle="1">
    <w:name w:val="WW-Absatz-Standardschriftart111"/>
    <w:pPr>
      <w:pBdr/>
      <w:spacing/>
      <w:ind/>
    </w:pPr>
  </w:style>
  <w:style w:type="character" w:styleId="971" w:customStyle="1">
    <w:name w:val="WW-Absatz-Standardschriftart1111"/>
    <w:pPr>
      <w:pBdr/>
      <w:spacing/>
      <w:ind/>
    </w:pPr>
  </w:style>
  <w:style w:type="character" w:styleId="972" w:customStyle="1">
    <w:name w:val="Fonte parág. padrão1"/>
    <w:pPr>
      <w:pBdr/>
      <w:spacing/>
      <w:ind/>
    </w:pPr>
  </w:style>
  <w:style w:type="character" w:styleId="973">
    <w:name w:val="Hyperlink"/>
    <w:pPr>
      <w:pBdr/>
      <w:spacing/>
      <w:ind/>
    </w:pPr>
    <w:rPr>
      <w:color w:val="0000ff"/>
      <w:u w:val="single"/>
    </w:rPr>
  </w:style>
  <w:style w:type="character" w:styleId="974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75">
    <w:name w:val="Body Text"/>
    <w:basedOn w:val="957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76">
    <w:name w:val="List"/>
    <w:basedOn w:val="975"/>
    <w:pPr>
      <w:pBdr/>
      <w:spacing/>
      <w:ind/>
    </w:pPr>
    <w:rPr>
      <w:rFonts w:cs="Tahoma"/>
    </w:rPr>
  </w:style>
  <w:style w:type="paragraph" w:styleId="977" w:customStyle="1">
    <w:name w:val="Legenda1"/>
    <w:basedOn w:val="957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78" w:customStyle="1">
    <w:name w:val="Índice"/>
    <w:basedOn w:val="957"/>
    <w:pPr>
      <w:suppressLineNumbers w:val="true"/>
      <w:pBdr/>
      <w:spacing/>
      <w:ind/>
    </w:pPr>
    <w:rPr>
      <w:rFonts w:cs="Tahoma"/>
    </w:rPr>
  </w:style>
  <w:style w:type="paragraph" w:styleId="979" w:customStyle="1">
    <w:name w:val="Título1"/>
    <w:basedOn w:val="957"/>
    <w:next w:val="97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80">
    <w:name w:val="Header"/>
    <w:basedOn w:val="957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81">
    <w:name w:val="Footer"/>
    <w:basedOn w:val="957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82" w:customStyle="1">
    <w:name w:val="Corpo de texto 21"/>
    <w:basedOn w:val="957"/>
    <w:pPr>
      <w:pBdr/>
      <w:spacing/>
      <w:ind/>
    </w:pPr>
    <w:rPr>
      <w:rFonts w:ascii="Tahoma" w:hAnsi="Tahoma" w:cs="Tahoma"/>
      <w:sz w:val="28"/>
    </w:rPr>
  </w:style>
  <w:style w:type="paragraph" w:styleId="983">
    <w:name w:val="Balloon Text"/>
    <w:basedOn w:val="957"/>
    <w:link w:val="98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84" w:customStyle="1">
    <w:name w:val="Texto de balão Char"/>
    <w:link w:val="983"/>
    <w:pPr>
      <w:pBdr/>
      <w:spacing/>
      <w:ind/>
    </w:pPr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6258-A29C-46AE-9BE9-3642310B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Grace</cp:lastModifiedBy>
  <cp:revision>28</cp:revision>
  <dcterms:created xsi:type="dcterms:W3CDTF">2026-02-23T19:45:00Z</dcterms:created>
  <dcterms:modified xsi:type="dcterms:W3CDTF">2026-02-25T13:22:36Z</dcterms:modified>
</cp:coreProperties>
</file>