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criação de uma academia ao ar livre no espaço localizado na rua Alexandre Magno Abrão (Chorão) ao lado do n° 211 no bairro Residencial Santo Antônio.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bCs w:val="0"/>
          <w:i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</w:rPr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white"/>
        </w:rPr>
        <w:t xml:space="preserve">O referido bairro não dispõe de academia ao ar livre, lembrando que o artigo 196 da constituição federal, a saúde é direito de todos e dever do estado, o artigo 217 é dever do estado fomentar práticas desportivas formais e não formais. Espaço gratuito e ac</w:t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  <w:highlight w:val="white"/>
        </w:rPr>
        <w:t xml:space="preserve">essível para os moradores e não moradores do bairro.</w:t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</w:rPr>
      </w:r>
      <w:r>
        <w:rPr>
          <w:rFonts w:ascii="Arial" w:hAnsi="Arial" w:eastAsia="Arial" w:cs="Arial"/>
          <w:i w:val="0"/>
          <w:iCs w:val="0"/>
          <w:color w:val="000000" w:themeColor="text1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6</cp:revision>
  <dcterms:created xsi:type="dcterms:W3CDTF">2026-02-03T12:14:00Z</dcterms:created>
  <dcterms:modified xsi:type="dcterms:W3CDTF">2026-02-24T17:31:00Z</dcterms:modified>
</cp:coreProperties>
</file>