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4B53DFEF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1</w:t>
      </w:r>
      <w:r>
        <w:rPr>
          <w:rFonts w:ascii="Arial" w:hAnsi="Arial" w:cs="Arial"/>
          <w:b/>
          <w:sz w:val="32"/>
          <w:szCs w:val="32"/>
          <w:u w:val="single"/>
        </w:rPr>
        <w:t xml:space="preserve">8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1060F0F1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71EF1CB4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 COMPLEMENTAR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03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2D2EEC71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EXECUTIVO MUNICIPAL</w:t>
      </w:r>
      <w:r>
        <w:rPr>
          <w:rFonts w:ascii="Arial" w:hAnsi="Arial" w:cs="Arial"/>
          <w:b/>
          <w:sz w:val="24"/>
          <w:szCs w:val="24"/>
        </w:rPr>
      </w:r>
    </w:p>
    <w:p w14:paraId="1DC437B0" w14:textId="385E06A4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CRIAÇÃO DA CÂMARA DE CONCILIAÇÃO DOS CRÉDITOS TRIBUTÁRIOS E NÃO TRIBUTÁRIOS NO ÂMBITO DO MUNICÍPIO DE FRANCO DA ROCHA, INSTITUI PROCEDIMENTOS DE COBRANÇA EXTRAJUDICIAL E JUDICIAL DA DÍVIDA ATIVA MUNICIPAL, E DÁ OUTRAS PROVIDÊNCIAS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cs="Arial"/>
          <w:b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47057EC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64E9B1AE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4523BD8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0E32686" w14:textId="77777777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CAPÍTULO I</w:t>
      </w:r>
      <w:r>
        <w:rPr>
          <w:rFonts w:ascii="Arial" w:hAnsi="Arial" w:cs="Arial"/>
          <w:sz w:val="24"/>
          <w:szCs w:val="24"/>
        </w:rPr>
      </w:r>
    </w:p>
    <w:p w14:paraId="2549A2F8" w14:textId="77777777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 Câmara de Conciliação</w:t>
      </w:r>
      <w:r>
        <w:rPr>
          <w:rFonts w:ascii="Arial" w:hAnsi="Arial" w:cs="Arial"/>
          <w:sz w:val="24"/>
          <w:szCs w:val="24"/>
        </w:rPr>
      </w:r>
    </w:p>
    <w:p w14:paraId="14FDD818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957C115" w14:textId="456D910E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Fica instituída, no âmbito do Município de Franco da Rocha, a Câmara de Conciliação dos Créditos Municipais, com a f</w:t>
      </w:r>
      <w:r>
        <w:rPr>
          <w:rFonts w:ascii="Arial" w:hAnsi="Arial" w:cs="Arial"/>
          <w:sz w:val="24"/>
          <w:szCs w:val="24"/>
        </w:rPr>
        <w:t xml:space="preserve">inalidade de promover a resolução administrativa e consensual dos litígios envolvendo créditos tributários e não tributários, inscritos ou não em dívida ativa, judicializados ou não, visando à redução da litigiosidade e à melhoria da arrecadação municipal.</w:t>
      </w:r>
      <w:r>
        <w:rPr>
          <w:rFonts w:ascii="Arial" w:hAnsi="Arial" w:cs="Arial"/>
          <w:sz w:val="24"/>
          <w:szCs w:val="24"/>
        </w:rPr>
      </w:r>
    </w:p>
    <w:p w14:paraId="6697393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7A57B5" w14:textId="4E66464E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único.</w:t>
      </w:r>
      <w:r>
        <w:rPr>
          <w:rFonts w:ascii="Arial" w:hAnsi="Arial" w:cs="Arial"/>
          <w:sz w:val="24"/>
          <w:szCs w:val="24"/>
        </w:rPr>
        <w:t xml:space="preserve"> A atuação da Câmara de</w:t>
      </w:r>
      <w:r>
        <w:rPr>
          <w:rFonts w:ascii="Arial" w:hAnsi="Arial" w:cs="Arial"/>
          <w:sz w:val="24"/>
          <w:szCs w:val="24"/>
        </w:rPr>
        <w:t xml:space="preserve"> Conciliação observará, entre outros, os princípios da isonomia, da capacidade contributiva, da transparência, da moralidade, da razoável duração dos processos, da eficiência e, resguardadas as informações protegidas por sigilo, o princípio da publicidade.</w:t>
      </w:r>
      <w:r>
        <w:rPr>
          <w:rFonts w:ascii="Arial" w:hAnsi="Arial" w:cs="Arial"/>
          <w:sz w:val="24"/>
          <w:szCs w:val="24"/>
        </w:rPr>
      </w:r>
    </w:p>
    <w:p w14:paraId="3A839019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3BE4A6" w14:textId="3E30B22D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</w:t>
      </w:r>
      <w:r>
        <w:rPr>
          <w:rFonts w:ascii="Arial" w:hAnsi="Arial" w:cs="Arial"/>
          <w:sz w:val="24"/>
          <w:szCs w:val="24"/>
        </w:rPr>
        <w:t xml:space="preserve"> A Câmara de Conciliação será composta por Procuradores do Município, auxiliados por servidores de apoio, cabendo à resolução própria dispor sobre sua forma de funcionamento, composição e procedimentos internos.</w:t>
      </w:r>
      <w:r>
        <w:rPr>
          <w:rFonts w:ascii="Arial" w:hAnsi="Arial" w:cs="Arial"/>
          <w:sz w:val="24"/>
          <w:szCs w:val="24"/>
        </w:rPr>
      </w:r>
    </w:p>
    <w:p w14:paraId="68BF9EC7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A3B1668" w14:textId="24F0EBF6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 xml:space="preserve">Compete à Câmara de Conciliação:</w:t>
      </w:r>
      <w:r>
        <w:rPr>
          <w:rFonts w:ascii="Arial" w:hAnsi="Arial" w:cs="Arial"/>
          <w:sz w:val="24"/>
          <w:szCs w:val="24"/>
        </w:rPr>
      </w:r>
    </w:p>
    <w:p w14:paraId="67D74CA6" w14:textId="499914C8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promover</w:t>
      </w:r>
      <w:r>
        <w:rPr>
          <w:rFonts w:ascii="Arial" w:hAnsi="Arial" w:cs="Arial"/>
          <w:sz w:val="24"/>
          <w:szCs w:val="24"/>
        </w:rPr>
        <w:t xml:space="preserve"> a conciliação e praticar os atos materiais necessários à celebração de acordos administrativos entre o Município e os devedores da Fazenda Pública Municipal;</w:t>
      </w:r>
      <w:r>
        <w:rPr>
          <w:rFonts w:ascii="Arial" w:hAnsi="Arial" w:cs="Arial"/>
          <w:sz w:val="24"/>
          <w:szCs w:val="24"/>
        </w:rPr>
      </w:r>
    </w:p>
    <w:p w14:paraId="49A47756" w14:textId="42E42DA7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 xml:space="preserve">propor</w:t>
      </w:r>
      <w:r>
        <w:rPr>
          <w:rFonts w:ascii="Arial" w:hAnsi="Arial" w:cs="Arial"/>
          <w:sz w:val="24"/>
          <w:szCs w:val="24"/>
        </w:rPr>
        <w:t xml:space="preserve"> soluções consensuais para a recuperação de créditos tributários e não tributários;</w:t>
      </w:r>
      <w:r>
        <w:rPr>
          <w:rFonts w:ascii="Arial" w:hAnsi="Arial" w:cs="Arial"/>
          <w:sz w:val="24"/>
          <w:szCs w:val="24"/>
        </w:rPr>
      </w:r>
    </w:p>
    <w:p w14:paraId="1CB74710" w14:textId="77777777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publicar os editais de transação por adesão;</w:t>
      </w:r>
      <w:r>
        <w:rPr>
          <w:rFonts w:ascii="Arial" w:hAnsi="Arial" w:cs="Arial"/>
          <w:sz w:val="24"/>
          <w:szCs w:val="24"/>
        </w:rPr>
      </w:r>
    </w:p>
    <w:p w14:paraId="4DE9BE7D" w14:textId="34AC4AF4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V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emitir</w:t>
      </w:r>
      <w:r>
        <w:rPr>
          <w:rFonts w:ascii="Arial" w:hAnsi="Arial" w:cs="Arial"/>
          <w:sz w:val="24"/>
          <w:szCs w:val="24"/>
        </w:rPr>
        <w:t xml:space="preserve"> pareceres e relatórios sobre propostas de parcelamento, confissão e reconhecimento de dívidas;</w:t>
      </w:r>
      <w:r>
        <w:rPr>
          <w:rFonts w:ascii="Arial" w:hAnsi="Arial" w:cs="Arial"/>
          <w:sz w:val="24"/>
          <w:szCs w:val="24"/>
        </w:rPr>
      </w:r>
    </w:p>
    <w:p w14:paraId="1B3D9C27" w14:textId="50C453F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</w:t>
      </w:r>
      <w:r>
        <w:rPr>
          <w:rFonts w:ascii="Arial" w:hAnsi="Arial" w:cs="Arial"/>
          <w:sz w:val="24"/>
          <w:szCs w:val="24"/>
        </w:rPr>
        <w:t xml:space="preserve">encaminhar</w:t>
      </w:r>
      <w:r>
        <w:rPr>
          <w:rFonts w:ascii="Arial" w:hAnsi="Arial" w:cs="Arial"/>
          <w:sz w:val="24"/>
          <w:szCs w:val="24"/>
        </w:rPr>
        <w:t xml:space="preserve"> propostas de conciliação à homologação do Procurador-Geral do Município, ou de Procurador do Município por ele designado;</w:t>
      </w:r>
      <w:r>
        <w:rPr>
          <w:rFonts w:ascii="Arial" w:hAnsi="Arial" w:cs="Arial"/>
          <w:sz w:val="24"/>
          <w:szCs w:val="24"/>
        </w:rPr>
      </w:r>
    </w:p>
    <w:p w14:paraId="259C365F" w14:textId="5CF3264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sugerir</w:t>
      </w:r>
      <w:r>
        <w:rPr>
          <w:rFonts w:ascii="Arial" w:hAnsi="Arial" w:cs="Arial"/>
          <w:sz w:val="24"/>
          <w:szCs w:val="24"/>
        </w:rPr>
        <w:t xml:space="preserve"> medidas que aperfeiçoem os procedimentos de cobrança extrajudicial e judicial.</w:t>
      </w:r>
      <w:r>
        <w:rPr>
          <w:rFonts w:ascii="Arial" w:hAnsi="Arial" w:cs="Arial"/>
          <w:sz w:val="24"/>
          <w:szCs w:val="24"/>
        </w:rPr>
      </w:r>
    </w:p>
    <w:p w14:paraId="74DEA8C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FF0649" w14:textId="49CD3985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§1º </w:t>
      </w:r>
      <w:r>
        <w:rPr>
          <w:rFonts w:ascii="Arial" w:hAnsi="Arial" w:cs="Arial"/>
          <w:sz w:val="24"/>
          <w:szCs w:val="24"/>
        </w:rPr>
        <w:t xml:space="preserve">Os acordos celebrados no âmbito da Câmara de Conciliação dependerão de homologação do Procurador-Geral do Município, ou de Procurador do Município por ele designado, observado o disposto em regulamento.</w:t>
      </w:r>
      <w:r>
        <w:rPr>
          <w:rFonts w:ascii="Arial" w:hAnsi="Arial" w:cs="Arial"/>
          <w:sz w:val="24"/>
          <w:szCs w:val="24"/>
        </w:rPr>
      </w:r>
    </w:p>
    <w:p w14:paraId="7EA0E65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B2D221" w14:textId="5049B48C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§2º </w:t>
      </w:r>
      <w:r>
        <w:rPr>
          <w:rFonts w:ascii="Arial" w:hAnsi="Arial" w:cs="Arial"/>
          <w:sz w:val="24"/>
          <w:szCs w:val="24"/>
        </w:rPr>
        <w:t xml:space="preserve">Quando o valor do acordo ultrapassar o limite de alçada fixado em regulamento, será exigida, adicionalmente, a homologação pelo Prefeito Municipal.</w:t>
      </w:r>
      <w:r>
        <w:rPr>
          <w:rFonts w:ascii="Arial" w:hAnsi="Arial" w:cs="Arial"/>
          <w:sz w:val="24"/>
          <w:szCs w:val="24"/>
        </w:rPr>
      </w:r>
    </w:p>
    <w:p w14:paraId="50343380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A8848C" w14:textId="5B7656D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4º</w:t>
      </w:r>
      <w:r>
        <w:rPr>
          <w:rFonts w:ascii="Arial" w:hAnsi="Arial" w:cs="Arial"/>
          <w:sz w:val="24"/>
          <w:szCs w:val="24"/>
        </w:rPr>
        <w:t xml:space="preserve"> A Câmara de Conciliação poderá atuar de forma itinerante, promover campanhas de regularização fiscal e implementar inovações tecnológicas para melhorar a eficiência da arrecadação, inclusive por meios eletrônicos, aplicativos e notificações digitais.</w:t>
      </w:r>
      <w:r>
        <w:rPr>
          <w:rFonts w:ascii="Arial" w:hAnsi="Arial" w:cs="Arial"/>
          <w:sz w:val="24"/>
          <w:szCs w:val="24"/>
        </w:rPr>
      </w:r>
    </w:p>
    <w:p w14:paraId="44F1E0E6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E4DC315" w14:textId="65EEB04D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5º </w:t>
      </w:r>
      <w:r>
        <w:rPr>
          <w:rFonts w:ascii="Arial" w:hAnsi="Arial" w:cs="Arial"/>
          <w:sz w:val="24"/>
          <w:szCs w:val="24"/>
        </w:rPr>
        <w:t xml:space="preserve">A celebração de acordos no âmbito da Câmara de Conciliação observará os seguintes requisitos e limites:</w:t>
      </w:r>
      <w:r>
        <w:rPr>
          <w:rFonts w:ascii="Arial" w:hAnsi="Arial" w:cs="Arial"/>
          <w:sz w:val="24"/>
          <w:szCs w:val="24"/>
        </w:rPr>
      </w:r>
    </w:p>
    <w:p w14:paraId="5841A2D7" w14:textId="243CEB4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valor atualizado do crédito deverá ser compatível com os parâmetros de economicidade e eficiência fixados em regulamento;</w:t>
      </w:r>
      <w:r>
        <w:rPr>
          <w:rFonts w:ascii="Arial" w:hAnsi="Arial" w:cs="Arial"/>
          <w:sz w:val="24"/>
          <w:szCs w:val="24"/>
        </w:rPr>
      </w:r>
    </w:p>
    <w:p w14:paraId="6911045E" w14:textId="182B9BC8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o acordo deverá demonstrar a vantagem para o interesse público, comprovando-se a viabilidade da recuperação do crédito ou a prevenção de litígios de maior impacto econômico;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III – o devedor deverá reconhecer, de forma expressa, a existência e a exigibilidade do crédito, renunciando a eventuais impugnações administrativas ou judiciais sobre a matéria;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IV – as propostas de acordo serão formalizadas mediante termo próprio, instruído com parecer técnico e submetido à homologação do Procurador Geral do Município ou Procurador por ele designado e, quando o caso, do Prefeito Municipal;</w:t>
      </w:r>
      <w:r>
        <w:rPr>
          <w:rFonts w:ascii="Arial" w:hAnsi="Arial" w:cs="Arial"/>
          <w:sz w:val="24"/>
          <w:szCs w:val="24"/>
        </w:rPr>
      </w:r>
    </w:p>
    <w:p w14:paraId="4CE18A6D" w14:textId="1F72BCC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</w:t>
      </w:r>
      <w:r>
        <w:rPr>
          <w:rFonts w:ascii="Arial" w:hAnsi="Arial" w:cs="Arial"/>
          <w:sz w:val="24"/>
          <w:szCs w:val="24"/>
        </w:rPr>
        <w:t xml:space="preserve">as</w:t>
      </w:r>
      <w:r>
        <w:rPr>
          <w:rFonts w:ascii="Arial" w:hAnsi="Arial" w:cs="Arial"/>
          <w:sz w:val="24"/>
          <w:szCs w:val="24"/>
        </w:rPr>
        <w:t xml:space="preserve"> condições de parcelamento, descontos e prazos serão definidas em regulamento, observado o disposto na Lei de Responsabilidade Fiscal e na legislação municipal aplicável.</w:t>
      </w:r>
      <w:r>
        <w:rPr>
          <w:rFonts w:ascii="Arial" w:hAnsi="Arial" w:cs="Arial"/>
          <w:sz w:val="24"/>
          <w:szCs w:val="24"/>
        </w:rPr>
      </w:r>
    </w:p>
    <w:p w14:paraId="0388503E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7B096E" w14:textId="73D49D6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§1º</w:t>
      </w:r>
      <w:r>
        <w:rPr>
          <w:rFonts w:ascii="Arial" w:hAnsi="Arial" w:cs="Arial"/>
          <w:sz w:val="24"/>
          <w:szCs w:val="24"/>
        </w:rPr>
        <w:t xml:space="preserve"> Os acordos poderão ser celebrados em qualquer fase do procedimento administrativo de cobrança, inclusive após o ajuizamento da execução fiscal, desde que não haja prejuízo ao interesse público ou à continuidade da cobrança judicial.</w:t>
      </w:r>
      <w:r>
        <w:rPr>
          <w:rFonts w:ascii="Arial" w:hAnsi="Arial" w:cs="Arial"/>
          <w:sz w:val="24"/>
          <w:szCs w:val="24"/>
        </w:rPr>
      </w:r>
    </w:p>
    <w:p w14:paraId="4E258F8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2014F8C" w14:textId="18FED75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§2º</w:t>
      </w:r>
      <w:r>
        <w:rPr>
          <w:rFonts w:ascii="Arial" w:hAnsi="Arial" w:cs="Arial"/>
          <w:sz w:val="24"/>
          <w:szCs w:val="24"/>
        </w:rPr>
        <w:t xml:space="preserve"> A homologaçã</w:t>
      </w:r>
      <w:r>
        <w:rPr>
          <w:rFonts w:ascii="Arial" w:hAnsi="Arial" w:cs="Arial"/>
          <w:sz w:val="24"/>
          <w:szCs w:val="24"/>
        </w:rPr>
        <w:t xml:space="preserve">o de acordos relativos a débitos ainda não inscritos dependerá da prévia inscrição do crédito em Dívida Ativa Municipal, procedendo-se, em seguida, à suspensão de sua exigibilidade e à interrupção dos prazos prescricionais, nos termos do art. 17 desta lei.</w:t>
      </w:r>
      <w:r>
        <w:rPr>
          <w:rFonts w:ascii="Arial" w:hAnsi="Arial" w:cs="Arial"/>
          <w:sz w:val="24"/>
          <w:szCs w:val="24"/>
        </w:rPr>
      </w:r>
    </w:p>
    <w:p w14:paraId="5755653B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2196B31" w14:textId="7F898234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§3º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M</w:t>
      </w:r>
      <w:r>
        <w:rPr>
          <w:rFonts w:ascii="Arial" w:hAnsi="Arial" w:cs="Arial"/>
          <w:sz w:val="24"/>
          <w:szCs w:val="24"/>
        </w:rPr>
        <w:t xml:space="preserve">unicípio de Franco da Rocha exercerá o juízo de conveniência e oportunidade quanto aos acordos sujeitos à sua apreciação, podendo celebrar transações em quaisquer das modalidades previstas nesta lei, observados os requisitos e condições aqui estabelecidos.</w:t>
      </w:r>
      <w:r>
        <w:rPr>
          <w:rFonts w:ascii="Arial" w:hAnsi="Arial" w:cs="Arial"/>
          <w:sz w:val="24"/>
          <w:szCs w:val="24"/>
        </w:rPr>
      </w:r>
    </w:p>
    <w:p w14:paraId="2431F9B7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459CD4" w14:textId="6BD2026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6º </w:t>
      </w:r>
      <w:r>
        <w:rPr>
          <w:rFonts w:ascii="Arial" w:hAnsi="Arial" w:cs="Arial"/>
          <w:sz w:val="24"/>
          <w:szCs w:val="24"/>
        </w:rPr>
        <w:t xml:space="preserve">As decisões da Câmara poderão ser objeto de recurso administrativo, no prazo de 15 (quinze) dias, dirigido ao Procurador Geral do Município, cuja decisão será definitiva na esfera administrativa.</w:t>
      </w:r>
      <w:r>
        <w:rPr>
          <w:rFonts w:ascii="Arial" w:hAnsi="Arial" w:cs="Arial"/>
          <w:sz w:val="24"/>
          <w:szCs w:val="24"/>
        </w:rPr>
      </w:r>
    </w:p>
    <w:p w14:paraId="059E361A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18E490E" w14:textId="4C64352E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7º </w:t>
      </w:r>
      <w:r>
        <w:rPr>
          <w:rFonts w:ascii="Arial" w:hAnsi="Arial" w:cs="Arial"/>
          <w:sz w:val="24"/>
          <w:szCs w:val="24"/>
        </w:rPr>
        <w:t xml:space="preserve">A Câmara de Conciliação deverá as</w:t>
      </w:r>
      <w:r>
        <w:rPr>
          <w:rFonts w:ascii="Arial" w:hAnsi="Arial" w:cs="Arial"/>
          <w:sz w:val="24"/>
          <w:szCs w:val="24"/>
        </w:rPr>
        <w:t xml:space="preserve">segurar a observância do princípio da transparência na condução de suas atividades, mediante a divulgação de informações atualizadas e acessíveis sobre os acordos celebrados, respeitadas as restrições legais de sigilo fiscal, comercial e de dados pessoais.</w:t>
      </w:r>
      <w:r>
        <w:rPr>
          <w:rFonts w:ascii="Arial" w:hAnsi="Arial" w:cs="Arial"/>
          <w:sz w:val="24"/>
          <w:szCs w:val="24"/>
        </w:rPr>
      </w:r>
    </w:p>
    <w:p w14:paraId="6A956E1B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1AE01B7" w14:textId="6084539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§1º</w:t>
      </w:r>
      <w:r>
        <w:rPr>
          <w:rFonts w:ascii="Arial" w:hAnsi="Arial" w:cs="Arial"/>
          <w:sz w:val="24"/>
          <w:szCs w:val="24"/>
        </w:rPr>
        <w:t xml:space="preserve"> Para os fins do </w:t>
      </w:r>
      <w:r>
        <w:rPr>
          <w:rFonts w:ascii="Arial" w:hAnsi="Arial" w:cs="Arial"/>
          <w:i/>
          <w:iCs/>
          <w:sz w:val="24"/>
          <w:szCs w:val="24"/>
        </w:rPr>
        <w:t xml:space="preserve">caput</w:t>
      </w:r>
      <w:r>
        <w:rPr>
          <w:rFonts w:ascii="Arial" w:hAnsi="Arial" w:cs="Arial"/>
          <w:sz w:val="24"/>
          <w:szCs w:val="24"/>
        </w:rPr>
        <w:t xml:space="preserve">, a Câmara de Conciliação manterá cadastro público e permanentemente atualizado no Portal da Transparência do Município, contendo, no mínimo:</w:t>
      </w:r>
      <w:r>
        <w:rPr>
          <w:rFonts w:ascii="Arial" w:hAnsi="Arial" w:cs="Arial"/>
          <w:sz w:val="24"/>
          <w:szCs w:val="24"/>
        </w:rPr>
      </w:r>
    </w:p>
    <w:p w14:paraId="0B847F48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513B0AB" w14:textId="7F25050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relação dos termos de transação e de acordos celebrados, com extrato individualizado que indique:</w:t>
      </w:r>
      <w:r>
        <w:rPr>
          <w:rFonts w:ascii="Arial" w:hAnsi="Arial" w:cs="Arial"/>
          <w:sz w:val="24"/>
          <w:szCs w:val="24"/>
        </w:rPr>
      </w:r>
    </w:p>
    <w:p w14:paraId="0F6D73D8" w14:textId="7DFB8FF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a) o número do processo administrativo ou judicial correspondente;</w:t>
      </w:r>
      <w:r>
        <w:rPr>
          <w:rFonts w:ascii="Arial" w:hAnsi="Arial" w:cs="Arial"/>
          <w:sz w:val="24"/>
          <w:szCs w:val="24"/>
        </w:rPr>
      </w:r>
    </w:p>
    <w:p w14:paraId="7501E707" w14:textId="1B4E635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b) a identificação do devedor, observadas as hipóteses legais de anonimização;</w:t>
      </w:r>
      <w:r>
        <w:rPr>
          <w:rFonts w:ascii="Arial" w:hAnsi="Arial" w:cs="Arial"/>
          <w:sz w:val="24"/>
          <w:szCs w:val="24"/>
        </w:rPr>
      </w:r>
    </w:p>
    <w:p w14:paraId="6508F545" w14:textId="4B82B7C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c) o valor originário do débito;</w:t>
      </w:r>
      <w:r>
        <w:rPr>
          <w:rFonts w:ascii="Arial" w:hAnsi="Arial" w:cs="Arial"/>
          <w:sz w:val="24"/>
          <w:szCs w:val="24"/>
        </w:rPr>
      </w:r>
    </w:p>
    <w:p w14:paraId="23B6507A" w14:textId="3AF85F1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d) as condições pactuadas de pagamento, prazo e eventuais descontos;</w:t>
      </w:r>
      <w:r>
        <w:rPr>
          <w:rFonts w:ascii="Arial" w:hAnsi="Arial" w:cs="Arial"/>
          <w:sz w:val="24"/>
          <w:szCs w:val="24"/>
        </w:rPr>
      </w:r>
    </w:p>
    <w:p w14:paraId="243A2E31" w14:textId="797BB2E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e) o objeto do crédito conciliado;</w:t>
      </w:r>
      <w:r>
        <w:rPr>
          <w:rFonts w:ascii="Arial" w:hAnsi="Arial" w:cs="Arial"/>
          <w:sz w:val="24"/>
          <w:szCs w:val="24"/>
        </w:rPr>
      </w:r>
    </w:p>
    <w:p w14:paraId="670AC76B" w14:textId="68921DB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f) as garantias apresentadas;</w:t>
      </w:r>
      <w:r>
        <w:rPr>
          <w:rFonts w:ascii="Arial" w:hAnsi="Arial" w:cs="Arial"/>
          <w:sz w:val="24"/>
          <w:szCs w:val="24"/>
        </w:rPr>
      </w:r>
    </w:p>
    <w:p w14:paraId="239147DD" w14:textId="7A6F29BD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g) o resultado da execução do acordo, quando finalizado.</w:t>
      </w:r>
      <w:r>
        <w:rPr>
          <w:rFonts w:ascii="Arial" w:hAnsi="Arial" w:cs="Arial"/>
          <w:sz w:val="24"/>
          <w:szCs w:val="24"/>
        </w:rPr>
      </w:r>
    </w:p>
    <w:p w14:paraId="177EA3A8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0592A9C" w14:textId="633C9E6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valor global originário, o valor consolidado e o valor liquidado dos débitos objeto de transação;</w:t>
      </w:r>
      <w:r>
        <w:rPr>
          <w:rFonts w:ascii="Arial" w:hAnsi="Arial" w:cs="Arial"/>
          <w:sz w:val="24"/>
          <w:szCs w:val="24"/>
        </w:rPr>
      </w:r>
    </w:p>
    <w:p w14:paraId="27C4A6EC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E447623" w14:textId="0E41207D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os montantes totais recuperados em decorrência das conciliações e transações realizadas.</w:t>
      </w:r>
      <w:r>
        <w:rPr>
          <w:rFonts w:ascii="Arial" w:hAnsi="Arial" w:cs="Arial"/>
          <w:sz w:val="24"/>
          <w:szCs w:val="24"/>
        </w:rPr>
      </w:r>
    </w:p>
    <w:p w14:paraId="637504B7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B42BED1" w14:textId="4795B648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§2º</w:t>
      </w:r>
      <w:r>
        <w:rPr>
          <w:rFonts w:ascii="Arial" w:hAnsi="Arial" w:cs="Arial"/>
          <w:sz w:val="24"/>
          <w:szCs w:val="24"/>
        </w:rPr>
        <w:t xml:space="preserve"> A Câmara</w:t>
      </w:r>
      <w:r>
        <w:rPr>
          <w:rFonts w:ascii="Arial" w:hAnsi="Arial" w:cs="Arial"/>
          <w:sz w:val="24"/>
          <w:szCs w:val="24"/>
        </w:rPr>
        <w:t xml:space="preserve"> publicará relatórios periódicos de desempenho, com a indicação de indicadores quantitativos e qualitativos de eficiência, valores recuperados e taxas de adimplemento, visando à avaliação e aprimoramento das políticas de cobrança administrativa e judicial.</w:t>
      </w:r>
      <w:r>
        <w:rPr>
          <w:rFonts w:ascii="Arial" w:hAnsi="Arial" w:cs="Arial"/>
          <w:sz w:val="24"/>
          <w:szCs w:val="24"/>
        </w:rPr>
      </w:r>
    </w:p>
    <w:p w14:paraId="6A9F25B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7632B2" w14:textId="79F3B02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§3º</w:t>
      </w:r>
      <w:r>
        <w:rPr>
          <w:rFonts w:ascii="Arial" w:hAnsi="Arial" w:cs="Arial"/>
          <w:sz w:val="24"/>
          <w:szCs w:val="24"/>
        </w:rPr>
        <w:t xml:space="preserve"> A divulgação das informações de que trata este artigo observará as normas de acesso à informação e de proteção de dados pessoais, devendo ser garantida a integridade, a confiabilidade e a rastreabilidade das informações disponibilizadas.</w:t>
      </w:r>
      <w:r>
        <w:rPr>
          <w:rFonts w:ascii="Arial" w:hAnsi="Arial" w:cs="Arial"/>
          <w:sz w:val="24"/>
          <w:szCs w:val="24"/>
        </w:rPr>
      </w:r>
    </w:p>
    <w:p w14:paraId="2F83BB5E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BB7E3C8" w14:textId="677A7DC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8º </w:t>
      </w:r>
      <w:r>
        <w:rPr>
          <w:rFonts w:ascii="Arial" w:hAnsi="Arial" w:cs="Arial"/>
          <w:sz w:val="24"/>
          <w:szCs w:val="24"/>
        </w:rPr>
        <w:t xml:space="preserve">Será instituído o Comitê Municipal de Acompanhamento da Transação Fiscal, composto por representantes da Procuradoria Geral do Município, da Secretaria da Fazenda e da Controladoria Geral do Município.</w:t>
      </w:r>
      <w:r>
        <w:rPr>
          <w:rFonts w:ascii="Arial" w:hAnsi="Arial" w:cs="Arial"/>
          <w:sz w:val="24"/>
          <w:szCs w:val="24"/>
        </w:rPr>
      </w:r>
    </w:p>
    <w:p w14:paraId="08AA594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A30E3AD" w14:textId="20CB6D6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Parágrafo único.</w:t>
      </w:r>
      <w:r>
        <w:rPr>
          <w:rFonts w:ascii="Arial" w:hAnsi="Arial" w:cs="Arial"/>
          <w:sz w:val="24"/>
          <w:szCs w:val="24"/>
        </w:rPr>
        <w:t xml:space="preserve"> Compete ao Comitê acompanhar, avaliar e propor aperfeiçoamentos ao programa.</w:t>
      </w:r>
      <w:r>
        <w:rPr>
          <w:rFonts w:ascii="Arial" w:hAnsi="Arial" w:cs="Arial"/>
          <w:sz w:val="24"/>
          <w:szCs w:val="24"/>
        </w:rPr>
      </w:r>
    </w:p>
    <w:p w14:paraId="109B0B4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70BD1A6" w14:textId="035D1E6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9º </w:t>
      </w:r>
      <w:r>
        <w:rPr>
          <w:rFonts w:ascii="Arial" w:hAnsi="Arial" w:cs="Arial"/>
          <w:sz w:val="24"/>
          <w:szCs w:val="24"/>
        </w:rPr>
        <w:t xml:space="preserve">A Câmara de Conciliação manterá controle interno e externo sobre as transações, garantindo a atuação dos órgãos de controle e do Tribunal de Contas.</w:t>
      </w:r>
      <w:r>
        <w:rPr>
          <w:rFonts w:ascii="Arial" w:hAnsi="Arial" w:cs="Arial"/>
          <w:sz w:val="24"/>
          <w:szCs w:val="24"/>
        </w:rPr>
      </w:r>
    </w:p>
    <w:p w14:paraId="0B768BA6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D81793" w14:textId="740A115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Parágrafo único.</w:t>
      </w:r>
      <w:r>
        <w:rPr>
          <w:rFonts w:ascii="Arial" w:hAnsi="Arial" w:cs="Arial"/>
          <w:sz w:val="24"/>
          <w:szCs w:val="24"/>
        </w:rPr>
        <w:t xml:space="preserve"> A Câmara de conciliação manterá registro sistematizado das propostas, dos acordos celebrados e dos valores recuperados, para fins de controle interno, transparência e avaliação da efetividade das medidas de conciliação.</w:t>
      </w:r>
      <w:r>
        <w:rPr>
          <w:rFonts w:ascii="Arial" w:hAnsi="Arial" w:cs="Arial"/>
          <w:sz w:val="24"/>
          <w:szCs w:val="24"/>
        </w:rPr>
      </w:r>
    </w:p>
    <w:p w14:paraId="460D4C0D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72B6CE9" w14:textId="18AB30C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10. </w:t>
      </w:r>
      <w:r>
        <w:rPr>
          <w:rFonts w:ascii="Arial" w:hAnsi="Arial" w:cs="Arial"/>
          <w:sz w:val="24"/>
          <w:szCs w:val="24"/>
        </w:rPr>
        <w:t xml:space="preserve">A Procuradoria Geral do Município poderá, para fins de enquadramento e concessão de benefícios, classificar os créditos em níveis de recuperabilidade e risco, considerando:</w:t>
      </w:r>
      <w:r>
        <w:rPr>
          <w:rFonts w:ascii="Arial" w:hAnsi="Arial" w:cs="Arial"/>
          <w:sz w:val="24"/>
          <w:szCs w:val="24"/>
        </w:rPr>
      </w:r>
    </w:p>
    <w:p w14:paraId="27FDE67C" w14:textId="414E96F4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situação econômica e capacidade de pagamento do devedor;</w:t>
      </w:r>
      <w:r>
        <w:rPr>
          <w:rFonts w:ascii="Arial" w:hAnsi="Arial" w:cs="Arial"/>
          <w:sz w:val="24"/>
          <w:szCs w:val="24"/>
        </w:rPr>
      </w:r>
    </w:p>
    <w:p w14:paraId="527FF398" w14:textId="08153EC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valor consolidado do crédito;</w:t>
      </w:r>
      <w:r>
        <w:rPr>
          <w:rFonts w:ascii="Arial" w:hAnsi="Arial" w:cs="Arial"/>
          <w:sz w:val="24"/>
          <w:szCs w:val="24"/>
        </w:rPr>
      </w:r>
    </w:p>
    <w:p w14:paraId="11B0F22D" w14:textId="24470D0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o histórico de adimplência e comportamento fiscal;</w:t>
      </w:r>
      <w:r>
        <w:rPr>
          <w:rFonts w:ascii="Arial" w:hAnsi="Arial" w:cs="Arial"/>
          <w:sz w:val="24"/>
          <w:szCs w:val="24"/>
        </w:rPr>
      </w:r>
    </w:p>
    <w:p w14:paraId="4C4767A9" w14:textId="0503D9F5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custo estimado da cobrança e a probabilidade de êxito.</w:t>
      </w:r>
      <w:r>
        <w:rPr>
          <w:rFonts w:ascii="Arial" w:hAnsi="Arial" w:cs="Arial"/>
          <w:sz w:val="24"/>
          <w:szCs w:val="24"/>
        </w:rPr>
      </w:r>
    </w:p>
    <w:p w14:paraId="6A60AAE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988C745" w14:textId="127C2854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11. </w:t>
      </w:r>
      <w:r>
        <w:rPr>
          <w:rFonts w:ascii="Arial" w:hAnsi="Arial" w:cs="Arial"/>
          <w:sz w:val="24"/>
          <w:szCs w:val="24"/>
        </w:rPr>
        <w:t xml:space="preserve">A transação fiscal poderá ser realizada nas seguintes modalidades: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b/>
          <w:bCs/>
          <w:sz w:val="24"/>
          <w:szCs w:val="24"/>
        </w:rPr>
        <w:t xml:space="preserve">por adesão</w:t>
      </w:r>
      <w:r>
        <w:rPr>
          <w:rFonts w:ascii="Arial" w:hAnsi="Arial" w:cs="Arial"/>
          <w:sz w:val="24"/>
          <w:szCs w:val="24"/>
        </w:rPr>
        <w:t xml:space="preserve">, conforme edital publicado pela Câmara de Conciliação;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b/>
          <w:bCs/>
          <w:sz w:val="24"/>
          <w:szCs w:val="24"/>
        </w:rPr>
        <w:t xml:space="preserve">por proposta individual</w:t>
      </w:r>
      <w:r>
        <w:rPr>
          <w:rFonts w:ascii="Arial" w:hAnsi="Arial" w:cs="Arial"/>
          <w:sz w:val="24"/>
          <w:szCs w:val="24"/>
        </w:rPr>
        <w:t xml:space="preserve">, apresentada pelo contribuinte ou pela própria Câmara de Conciliação;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III – </w:t>
      </w:r>
      <w:r>
        <w:rPr>
          <w:rFonts w:ascii="Arial" w:hAnsi="Arial" w:cs="Arial"/>
          <w:b/>
          <w:bCs/>
          <w:sz w:val="24"/>
          <w:szCs w:val="24"/>
        </w:rPr>
        <w:t xml:space="preserve">por negociação direta</w:t>
      </w:r>
      <w:r>
        <w:rPr>
          <w:rFonts w:ascii="Arial" w:hAnsi="Arial" w:cs="Arial"/>
          <w:sz w:val="24"/>
          <w:szCs w:val="24"/>
        </w:rPr>
        <w:t xml:space="preserve">, no âmbito da Câmara de Conciliação.</w:t>
      </w:r>
      <w:r>
        <w:rPr>
          <w:rFonts w:ascii="Arial" w:hAnsi="Arial" w:cs="Arial"/>
          <w:sz w:val="24"/>
          <w:szCs w:val="24"/>
        </w:rPr>
      </w:r>
    </w:p>
    <w:p w14:paraId="2F515EC2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FAD1742" w14:textId="3D0D22FA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12. </w:t>
      </w:r>
      <w:r>
        <w:rPr>
          <w:rFonts w:ascii="Arial" w:hAnsi="Arial" w:cs="Arial"/>
          <w:sz w:val="24"/>
          <w:szCs w:val="24"/>
        </w:rPr>
        <w:t xml:space="preserve">A transação por adesão será formalizada mediante edital público expedido pela Câmara de Conciliação, que especificará as condições, prazos, valores e descontos aplicáveis aos créditos elegíveis.</w:t>
      </w:r>
      <w:r>
        <w:rPr>
          <w:rFonts w:ascii="Arial" w:hAnsi="Arial" w:cs="Arial"/>
          <w:sz w:val="24"/>
          <w:szCs w:val="24"/>
        </w:rPr>
      </w:r>
    </w:p>
    <w:p w14:paraId="0E623691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D40841" w14:textId="70A34A8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Parágrafo único. </w:t>
      </w:r>
      <w:r>
        <w:rPr>
          <w:rFonts w:ascii="Arial" w:hAnsi="Arial" w:cs="Arial"/>
          <w:sz w:val="24"/>
          <w:szCs w:val="24"/>
        </w:rPr>
        <w:t xml:space="preserve">A transação por adesão implica aceitação, pelo devedor, de todas as condições fixadas e será divulgada por todos os meios</w:t>
      </w:r>
      <w:r>
        <w:rPr>
          <w:rFonts w:ascii="Arial" w:hAnsi="Arial" w:cs="Arial"/>
          <w:sz w:val="24"/>
          <w:szCs w:val="24"/>
        </w:rPr>
        <w:t xml:space="preserve"> previstos em regulamento, mediante edital que especifique, de maneira objetiva, as hipóteses fáticas e jurídicas nas quais ela é admissível, abertas a todos os devedores que nelas se enquadrem e que satisfaçam às condições previstas nesta lei e no edital.</w:t>
      </w:r>
      <w:r>
        <w:rPr>
          <w:rFonts w:ascii="Arial" w:hAnsi="Arial" w:cs="Arial"/>
          <w:sz w:val="24"/>
          <w:szCs w:val="24"/>
        </w:rPr>
      </w:r>
    </w:p>
    <w:p w14:paraId="294D8C91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16602F" w14:textId="76C5DD2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13. </w:t>
      </w:r>
      <w:r>
        <w:rPr>
          <w:rFonts w:ascii="Arial" w:hAnsi="Arial" w:cs="Arial"/>
          <w:sz w:val="24"/>
          <w:szCs w:val="24"/>
        </w:rPr>
        <w:t xml:space="preserve">O edital poderá prever diferentes faixas de desconto e parcelamento, de acordo com: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 – o valor do crédito consolidado;</w:t>
      </w:r>
      <w:r>
        <w:rPr>
          <w:rFonts w:ascii="Arial" w:hAnsi="Arial" w:cs="Arial"/>
          <w:sz w:val="24"/>
          <w:szCs w:val="24"/>
        </w:rPr>
      </w:r>
    </w:p>
    <w:p w14:paraId="3874A5D2" w14:textId="59CE019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natureza do débito;</w:t>
      </w:r>
      <w:r>
        <w:rPr>
          <w:rFonts w:ascii="Arial" w:hAnsi="Arial" w:cs="Arial"/>
          <w:sz w:val="24"/>
          <w:szCs w:val="24"/>
        </w:rPr>
      </w:r>
    </w:p>
    <w:p w14:paraId="6E0A2C59" w14:textId="720CFC26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o tempo de inscrição em dívida ativa;</w:t>
      </w:r>
      <w:r>
        <w:rPr>
          <w:rFonts w:ascii="Arial" w:hAnsi="Arial" w:cs="Arial"/>
          <w:sz w:val="24"/>
          <w:szCs w:val="24"/>
        </w:rPr>
      </w:r>
    </w:p>
    <w:p w14:paraId="175441FA" w14:textId="596873C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histórico de regularidade fiscal do devedor.</w:t>
      </w:r>
      <w:r>
        <w:rPr>
          <w:rFonts w:ascii="Arial" w:hAnsi="Arial" w:cs="Arial"/>
          <w:sz w:val="24"/>
          <w:szCs w:val="24"/>
        </w:rPr>
      </w:r>
    </w:p>
    <w:p w14:paraId="1673E02D" w14:textId="77777777"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766BD558" w14:textId="47015B48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14. </w:t>
      </w:r>
      <w:r>
        <w:rPr>
          <w:rFonts w:ascii="Arial" w:hAnsi="Arial" w:cs="Arial"/>
          <w:sz w:val="24"/>
          <w:szCs w:val="24"/>
        </w:rPr>
        <w:t xml:space="preserve">A transação individual poderá ser proposta pelo contribuinte ou pela Câmara de Conciliação, sendo formalizada por meio de acordo específico que estabeleça as condições de pagamento e os benefícios aplicáveis.</w:t>
      </w:r>
      <w:r>
        <w:rPr>
          <w:rFonts w:ascii="Arial" w:hAnsi="Arial" w:cs="Arial"/>
          <w:sz w:val="24"/>
          <w:szCs w:val="24"/>
        </w:rPr>
      </w:r>
    </w:p>
    <w:p w14:paraId="21E4773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4BF837A" w14:textId="1A856EF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15.  </w:t>
      </w:r>
      <w:r>
        <w:rPr>
          <w:rFonts w:ascii="Arial" w:hAnsi="Arial" w:cs="Arial"/>
          <w:sz w:val="24"/>
          <w:szCs w:val="24"/>
        </w:rPr>
        <w:t xml:space="preserve">O acordo de transação individual dependerá de análise jurídica e financeira pela Procuradoria Geral do Município, e somente produzirá efeitos após homo</w:t>
      </w:r>
      <w:r>
        <w:rPr>
          <w:rFonts w:ascii="Arial" w:hAnsi="Arial" w:cs="Arial"/>
          <w:sz w:val="24"/>
          <w:szCs w:val="24"/>
        </w:rPr>
        <w:t xml:space="preserve">logação por despacho fundamentado do Procurador-Geral do Município ou de Procurador do Município por ele designado, que avaliará a legalidade, a viabilidade econômica, a vantajosidade e a observância dos requisitos previstos nesta lei e em seu regulamento.</w:t>
      </w:r>
      <w:r>
        <w:rPr>
          <w:rFonts w:ascii="Arial" w:hAnsi="Arial" w:cs="Arial"/>
          <w:sz w:val="24"/>
          <w:szCs w:val="24"/>
        </w:rPr>
      </w:r>
    </w:p>
    <w:p w14:paraId="5223C61F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747531" w14:textId="6A67E979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§1º</w:t>
      </w:r>
      <w:r>
        <w:rPr>
          <w:rFonts w:ascii="Arial" w:hAnsi="Arial" w:cs="Arial"/>
          <w:sz w:val="24"/>
          <w:szCs w:val="24"/>
        </w:rPr>
        <w:t xml:space="preserve"> Nos casos em que o valor do acordo ultrapassar a alçada fixada em regulamento, o termo será submetido à homologação final do Prefeito Municipal, que poderá aderir à fundamentação jurídica constante do despacho da Procuradoria Geral do Município.</w:t>
      </w:r>
      <w:r>
        <w:rPr>
          <w:rFonts w:ascii="Arial" w:hAnsi="Arial" w:cs="Arial"/>
          <w:sz w:val="24"/>
          <w:szCs w:val="24"/>
        </w:rPr>
      </w:r>
    </w:p>
    <w:p w14:paraId="2BC0C227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E5147B" w14:textId="2307928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§2º</w:t>
      </w:r>
      <w:r>
        <w:rPr>
          <w:rFonts w:ascii="Arial" w:hAnsi="Arial" w:cs="Arial"/>
          <w:sz w:val="24"/>
          <w:szCs w:val="24"/>
        </w:rPr>
        <w:t xml:space="preserve"> A motivação constante do despacho previsto no </w:t>
      </w:r>
      <w:r>
        <w:rPr>
          <w:rFonts w:ascii="Arial" w:hAnsi="Arial" w:cs="Arial"/>
          <w:i/>
          <w:iCs/>
          <w:sz w:val="24"/>
          <w:szCs w:val="24"/>
        </w:rPr>
        <w:t xml:space="preserve">caput</w:t>
      </w:r>
      <w:r>
        <w:rPr>
          <w:rFonts w:ascii="Arial" w:hAnsi="Arial" w:cs="Arial"/>
          <w:sz w:val="24"/>
          <w:szCs w:val="24"/>
        </w:rPr>
        <w:t xml:space="preserve"> deverá demonstrar o atendimento ao interesse público, a conformidade legal do ajuste e a adequação econômico-financeira da composição.</w:t>
      </w:r>
      <w:r>
        <w:rPr>
          <w:rFonts w:ascii="Arial" w:hAnsi="Arial" w:cs="Arial"/>
          <w:sz w:val="24"/>
          <w:szCs w:val="24"/>
        </w:rPr>
      </w:r>
    </w:p>
    <w:p w14:paraId="1B4F8302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461B2C6" w14:textId="4781285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16</w:t>
      </w:r>
      <w:r>
        <w:rPr>
          <w:rFonts w:ascii="Arial" w:hAnsi="Arial" w:cs="Arial"/>
          <w:sz w:val="24"/>
          <w:szCs w:val="24"/>
        </w:rPr>
        <w:t xml:space="preserve">. A transação individual poderá prever, de forma isolada ou cumulativa, conforme o caso e mediante justificativa técnica, as seguintes medidas:</w:t>
      </w:r>
      <w:r>
        <w:rPr>
          <w:rFonts w:ascii="Arial" w:hAnsi="Arial" w:cs="Arial"/>
          <w:sz w:val="24"/>
          <w:szCs w:val="24"/>
        </w:rPr>
      </w:r>
    </w:p>
    <w:p w14:paraId="431447F8" w14:textId="2EE9332C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concessão de descontos proporcionais à capacidade de pagamento do devedor, aplicáveis especialmente sobre multas, juros de mora e encargos legais, vedada, em qualquer hipótese, a concessão de descontos sobre o valor principal do crédito;</w:t>
      </w:r>
      <w:r>
        <w:rPr>
          <w:rFonts w:ascii="Arial" w:hAnsi="Arial" w:cs="Arial"/>
          <w:sz w:val="24"/>
          <w:szCs w:val="24"/>
        </w:rPr>
      </w:r>
    </w:p>
    <w:p w14:paraId="7C19E076" w14:textId="60834B2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ampliação ou flexibilização dos prazos de pagamento</w:t>
      </w:r>
      <w:r>
        <w:rPr>
          <w:rFonts w:ascii="Arial" w:hAnsi="Arial" w:cs="Arial"/>
          <w:sz w:val="24"/>
          <w:szCs w:val="24"/>
        </w:rPr>
      </w:r>
    </w:p>
    <w:p w14:paraId="07C51A3D" w14:textId="7ABD0B4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a substituição, liberação ou reforço de garantias e ônus, com vistas à facilitação da regularização do crédito;</w:t>
      </w:r>
      <w:r>
        <w:rPr>
          <w:rFonts w:ascii="Arial" w:hAnsi="Arial" w:cs="Arial"/>
          <w:sz w:val="24"/>
          <w:szCs w:val="24"/>
        </w:rPr>
      </w:r>
    </w:p>
    <w:p w14:paraId="2F8C43F1" w14:textId="7AC9847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possibilidade de dação em pagamento de bens móveis, imóveis ou direitos, nos termos da legislação aplicável;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</w:p>
    <w:p w14:paraId="33174DB7" w14:textId="40C7414C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possibilidade de utilização de créditos líquidos e certos do contribuinte contra o Município, reconhecidos administrativa ou judicialmente, para compensação total ou parcial dos débitos objeto da transação;</w:t>
      </w:r>
      <w:r>
        <w:rPr>
          <w:rFonts w:ascii="Arial" w:hAnsi="Arial" w:cs="Arial"/>
          <w:sz w:val="24"/>
          <w:szCs w:val="24"/>
        </w:rPr>
      </w:r>
    </w:p>
    <w:p w14:paraId="200D452B" w14:textId="024F609E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VI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possibilidade de pagamento com base em percentual da receita bruta mensal, em hipóteses de comprovada incapacidade de pagamento;</w:t>
      </w:r>
      <w:r>
        <w:rPr>
          <w:rFonts w:ascii="Arial" w:hAnsi="Arial" w:cs="Arial"/>
          <w:sz w:val="24"/>
          <w:szCs w:val="24"/>
        </w:rPr>
      </w:r>
    </w:p>
    <w:p w14:paraId="38233460" w14:textId="67958606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VII – a unificação de débitos de natureza diversa (tributária e não tributária) pertencentes ao mesmo sujeito passivo, quando isso favorecer a eficiência da cobrança e a racionalização dos procedimentos;</w:t>
      </w:r>
      <w:r>
        <w:rPr>
          <w:rFonts w:ascii="Arial" w:hAnsi="Arial" w:cs="Arial"/>
          <w:sz w:val="24"/>
          <w:szCs w:val="24"/>
        </w:rPr>
      </w:r>
    </w:p>
    <w:p w14:paraId="399D11BB" w14:textId="2C36C39C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VIII – a revisão ou extinção de garantias reais ou fidejussórias, desde que substituídas por outras de igual ou maior valor econômico;</w:t>
      </w:r>
      <w:r>
        <w:rPr>
          <w:rFonts w:ascii="Arial" w:hAnsi="Arial" w:cs="Arial"/>
          <w:sz w:val="24"/>
          <w:szCs w:val="24"/>
        </w:rPr>
      </w:r>
    </w:p>
    <w:p w14:paraId="59BDF804" w14:textId="7882AFC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IX –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adoção de medidas que promovam a conformidade fiscal e a recuperação sustentável do contribuinte, priorizando a adimplência futura.</w:t>
      </w:r>
      <w:r>
        <w:rPr>
          <w:rFonts w:ascii="Arial" w:hAnsi="Arial" w:cs="Arial"/>
          <w:sz w:val="24"/>
          <w:szCs w:val="24"/>
        </w:rPr>
      </w:r>
    </w:p>
    <w:p w14:paraId="67E09D6C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042E9F" w14:textId="7EF652E6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§1º</w:t>
      </w:r>
      <w:r>
        <w:rPr>
          <w:rFonts w:ascii="Arial" w:hAnsi="Arial" w:cs="Arial"/>
          <w:sz w:val="24"/>
          <w:szCs w:val="24"/>
        </w:rPr>
        <w:t xml:space="preserve"> A adoção das medidas previstas neste artigo deverá observar os princípios da proporcionalidade, da transparência, da isonomia e da vedação ao perdão genérico de dívidas.</w:t>
      </w:r>
      <w:r>
        <w:rPr>
          <w:rFonts w:ascii="Arial" w:hAnsi="Arial" w:cs="Arial"/>
          <w:sz w:val="24"/>
          <w:szCs w:val="24"/>
        </w:rPr>
      </w:r>
    </w:p>
    <w:p w14:paraId="4E7D634D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B575D23" w14:textId="3E086C66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§2º</w:t>
      </w:r>
      <w:r>
        <w:rPr>
          <w:rFonts w:ascii="Arial" w:hAnsi="Arial" w:cs="Arial"/>
          <w:sz w:val="24"/>
          <w:szCs w:val="24"/>
        </w:rPr>
        <w:t xml:space="preserve"> As condições específicas de aplicação dos incisos deste artigo, bem como os critérios objetivos para aferição da capacidade de pagamento, serão </w:t>
      </w:r>
      <w:r>
        <w:rPr>
          <w:rFonts w:ascii="Arial" w:hAnsi="Arial" w:cs="Arial"/>
          <w:sz w:val="24"/>
          <w:szCs w:val="24"/>
        </w:rPr>
        <w:t xml:space="preserve">definidos</w:t>
      </w:r>
      <w:r>
        <w:rPr>
          <w:rFonts w:ascii="Arial" w:hAnsi="Arial" w:cs="Arial"/>
          <w:sz w:val="24"/>
          <w:szCs w:val="24"/>
        </w:rPr>
        <w:t xml:space="preserve"> em regulamento.</w:t>
      </w:r>
      <w:r>
        <w:rPr>
          <w:rFonts w:ascii="Arial" w:hAnsi="Arial" w:cs="Arial"/>
          <w:sz w:val="24"/>
          <w:szCs w:val="24"/>
        </w:rPr>
      </w:r>
    </w:p>
    <w:p w14:paraId="219CCB3A" w14:textId="77777777"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172D3CCD" w14:textId="23B7D2C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17. </w:t>
      </w:r>
      <w:r>
        <w:rPr>
          <w:rFonts w:ascii="Arial" w:hAnsi="Arial" w:cs="Arial"/>
          <w:sz w:val="24"/>
          <w:szCs w:val="24"/>
        </w:rPr>
        <w:t xml:space="preserve">A celebração da transação suspende a exigibilidade do crédito tributário ou não tributário e interrompe o prazo prescricional, nos termos da legislação aplicável.</w:t>
      </w:r>
      <w:r>
        <w:rPr>
          <w:rFonts w:ascii="Arial" w:hAnsi="Arial" w:cs="Arial"/>
          <w:sz w:val="24"/>
          <w:szCs w:val="24"/>
        </w:rPr>
      </w:r>
    </w:p>
    <w:p w14:paraId="3D8237F3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7A936F3" w14:textId="140990C0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18. </w:t>
      </w:r>
      <w:r>
        <w:rPr>
          <w:rFonts w:ascii="Arial" w:hAnsi="Arial" w:cs="Arial"/>
          <w:sz w:val="24"/>
          <w:szCs w:val="24"/>
        </w:rPr>
        <w:t xml:space="preserve">A celebração da transação implica:</w:t>
      </w:r>
      <w:r>
        <w:rPr>
          <w:rFonts w:ascii="Arial" w:hAnsi="Arial" w:cs="Arial"/>
          <w:sz w:val="24"/>
          <w:szCs w:val="24"/>
        </w:rPr>
      </w:r>
    </w:p>
    <w:p w14:paraId="41ADE1AB" w14:textId="5B8FAC02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sz w:val="24"/>
          <w:szCs w:val="24"/>
        </w:rPr>
        <w:t xml:space="preserve">confissão</w:t>
      </w:r>
      <w:r>
        <w:rPr>
          <w:rFonts w:ascii="Arial" w:hAnsi="Arial" w:cs="Arial"/>
          <w:sz w:val="24"/>
          <w:szCs w:val="24"/>
        </w:rPr>
        <w:t xml:space="preserve"> irretratável e irrevogável da dívida;</w:t>
      </w:r>
      <w:r>
        <w:rPr>
          <w:rFonts w:ascii="Arial" w:hAnsi="Arial" w:cs="Arial"/>
          <w:sz w:val="24"/>
          <w:szCs w:val="24"/>
        </w:rPr>
      </w:r>
    </w:p>
    <w:p w14:paraId="46B72B59" w14:textId="2F68230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sz w:val="24"/>
          <w:szCs w:val="24"/>
        </w:rPr>
        <w:t xml:space="preserve">renúncia</w:t>
      </w:r>
      <w:r>
        <w:rPr>
          <w:rFonts w:ascii="Arial" w:hAnsi="Arial" w:cs="Arial"/>
          <w:sz w:val="24"/>
          <w:szCs w:val="24"/>
        </w:rPr>
        <w:t xml:space="preserve"> a defesas e recursos administrativos ou judiciais;</w:t>
      </w:r>
      <w:r>
        <w:rPr>
          <w:rFonts w:ascii="Arial" w:hAnsi="Arial" w:cs="Arial"/>
          <w:sz w:val="24"/>
          <w:szCs w:val="24"/>
        </w:rPr>
      </w:r>
    </w:p>
    <w:p w14:paraId="7C06C115" w14:textId="4BF437C9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compromisso de manutenção da regularidade fiscal durante a vigência do acordo.</w:t>
      </w:r>
      <w:r>
        <w:rPr>
          <w:rFonts w:ascii="Arial" w:hAnsi="Arial" w:cs="Arial"/>
          <w:sz w:val="24"/>
          <w:szCs w:val="24"/>
        </w:rPr>
      </w:r>
    </w:p>
    <w:p w14:paraId="2A2A34F9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03EEF21" w14:textId="563E4AB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19. </w:t>
      </w:r>
      <w:r>
        <w:rPr>
          <w:rFonts w:ascii="Arial" w:hAnsi="Arial" w:cs="Arial"/>
          <w:sz w:val="24"/>
          <w:szCs w:val="24"/>
        </w:rPr>
        <w:t xml:space="preserve">A quitação integral do acordo extinguirá definitivamente o crédito objeto da transação e implicará a baixa do débito no cadastro da dívida ativa.</w:t>
      </w:r>
      <w:r>
        <w:rPr>
          <w:rFonts w:ascii="Arial" w:hAnsi="Arial" w:cs="Arial"/>
          <w:sz w:val="24"/>
          <w:szCs w:val="24"/>
        </w:rPr>
      </w:r>
    </w:p>
    <w:p w14:paraId="79688114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92CD008" w14:textId="48A08A2E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20. </w:t>
      </w:r>
      <w:r>
        <w:rPr>
          <w:rFonts w:ascii="Arial" w:hAnsi="Arial" w:cs="Arial"/>
          <w:sz w:val="24"/>
          <w:szCs w:val="24"/>
        </w:rPr>
        <w:t xml:space="preserve">O inadimplemento das condições pactuadas implicará a rescisão automática da transação, com o restabelecimento integral do crédito original, abatidos os valores já pagos.</w:t>
      </w:r>
      <w:r>
        <w:rPr>
          <w:rFonts w:ascii="Arial" w:hAnsi="Arial" w:cs="Arial"/>
          <w:sz w:val="24"/>
          <w:szCs w:val="24"/>
        </w:rPr>
      </w:r>
    </w:p>
    <w:p w14:paraId="07358ED0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B4751D" w14:textId="77777777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CAPÍTULO II</w:t>
      </w:r>
      <w:r>
        <w:rPr>
          <w:rFonts w:ascii="Arial" w:hAnsi="Arial" w:cs="Arial"/>
          <w:sz w:val="24"/>
          <w:szCs w:val="24"/>
        </w:rPr>
      </w:r>
    </w:p>
    <w:p w14:paraId="21FDB22D" w14:textId="77777777">
      <w:pPr>
        <w:pBdr/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 Cobrança da Dívida Ativa Tributária e não tributária</w:t>
      </w:r>
      <w:r>
        <w:rPr>
          <w:rFonts w:ascii="Arial" w:hAnsi="Arial" w:cs="Arial"/>
          <w:sz w:val="24"/>
          <w:szCs w:val="24"/>
        </w:rPr>
      </w:r>
    </w:p>
    <w:p w14:paraId="1CA93D9E" w14:textId="77777777"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3ADA500" w14:textId="5F4E2B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21. </w:t>
      </w:r>
      <w:r>
        <w:rPr>
          <w:rFonts w:ascii="Arial" w:hAnsi="Arial" w:cs="Arial"/>
          <w:sz w:val="24"/>
          <w:szCs w:val="24"/>
        </w:rPr>
        <w:t xml:space="preserve">Independentemente dos procedimentos de cob</w:t>
      </w:r>
      <w:r>
        <w:rPr>
          <w:rFonts w:ascii="Arial" w:hAnsi="Arial" w:cs="Arial"/>
          <w:sz w:val="24"/>
          <w:szCs w:val="24"/>
        </w:rPr>
        <w:t xml:space="preserve">rança negocial e de transação previstos nos capítulos anteriores, a Dívida Ativa do Município poderá ser cobrada por meio dos instrumentos previstos neste Capítulo, observada a prioridade das soluções consensuais e extrajudiciais sobre a cobrança judicial.</w:t>
      </w:r>
      <w:r>
        <w:rPr>
          <w:rFonts w:ascii="Arial" w:hAnsi="Arial" w:cs="Arial"/>
          <w:sz w:val="24"/>
          <w:szCs w:val="24"/>
        </w:rPr>
      </w:r>
    </w:p>
    <w:p w14:paraId="579FB93B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591EA2C" w14:textId="24983FD5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Parágrafo único. </w:t>
      </w:r>
      <w:r>
        <w:rPr>
          <w:rFonts w:ascii="Arial" w:hAnsi="Arial" w:cs="Arial"/>
          <w:sz w:val="24"/>
          <w:szCs w:val="24"/>
        </w:rPr>
        <w:t xml:space="preserve">A utilização de qualquer instrumento de cobrança será precedida, obrigatoriamente, do controle de legalidade pela Procuradoria Geral do Município, à qual caberá definir, e</w:t>
      </w:r>
      <w:r>
        <w:rPr>
          <w:rFonts w:ascii="Arial" w:hAnsi="Arial" w:cs="Arial"/>
          <w:sz w:val="24"/>
          <w:szCs w:val="24"/>
        </w:rPr>
        <w:t xml:space="preserve">m cada caso, os meios mais adequados à efetiva recuperação do crédito, hipótese em que incidirão honorários advocatícios de 10% (dez por cento) sobre o valor atualizado do crédito municipal, nos termos do art. 589, §1º, da Lei Complementar nº 412, de 2023.</w:t>
      </w:r>
      <w:r>
        <w:rPr>
          <w:rFonts w:ascii="Arial" w:hAnsi="Arial" w:cs="Arial"/>
          <w:sz w:val="24"/>
          <w:szCs w:val="24"/>
        </w:rPr>
      </w:r>
    </w:p>
    <w:p w14:paraId="69D15660" w14:textId="77777777"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1EEB8A27" w14:textId="3D50BB51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Art</w:t>
      </w:r>
      <w:r>
        <w:rPr>
          <w:rFonts w:ascii="Arial" w:hAnsi="Arial" w:cs="Arial"/>
          <w:b/>
          <w:bCs/>
          <w:sz w:val="24"/>
          <w:szCs w:val="24"/>
        </w:rPr>
        <w:t xml:space="preserve"> 22.</w:t>
      </w:r>
      <w:r>
        <w:rPr>
          <w:rFonts w:ascii="Arial" w:hAnsi="Arial" w:cs="Arial"/>
          <w:sz w:val="24"/>
          <w:szCs w:val="24"/>
        </w:rPr>
        <w:t xml:space="preserve"> Feita a inscrição em Dívida Ativa pela Procuradoria do Município, a quem compete o ato, os atos de cobrança serão iniciados via extrajudicial, mediante a utilização, isolada ou cumulativa, de um ou mais dos seguintes instrumentos:</w:t>
      </w:r>
      <w:r>
        <w:rPr>
          <w:rFonts w:ascii="Arial" w:hAnsi="Arial" w:cs="Arial"/>
          <w:sz w:val="24"/>
          <w:szCs w:val="24"/>
        </w:rPr>
      </w:r>
    </w:p>
    <w:p w14:paraId="4D1FB583" w14:textId="1E69EF46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sz w:val="24"/>
          <w:szCs w:val="24"/>
        </w:rPr>
        <w:t xml:space="preserve">facilitação</w:t>
      </w:r>
      <w:r>
        <w:rPr>
          <w:rFonts w:ascii="Arial" w:hAnsi="Arial" w:cs="Arial"/>
          <w:sz w:val="24"/>
          <w:szCs w:val="24"/>
        </w:rPr>
        <w:t xml:space="preserve"> do pagamento de débitos vencidos, com o envio de boleto ou guia de arrecadação;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II – celebração de negócio jurídico processual previsto nos artigos 190 e 191 do Código de Processo Civil;</w:t>
      </w:r>
      <w:r>
        <w:rPr>
          <w:rFonts w:ascii="Arial" w:hAnsi="Arial" w:cs="Arial"/>
          <w:sz w:val="24"/>
          <w:szCs w:val="24"/>
        </w:rPr>
      </w:r>
    </w:p>
    <w:p w14:paraId="54833708" w14:textId="4CA07E5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III – adesão a programas de parcelamento incentivado, regulados por legislação própria;</w:t>
      </w:r>
      <w:r>
        <w:rPr>
          <w:rFonts w:ascii="Arial" w:hAnsi="Arial" w:cs="Arial"/>
          <w:sz w:val="24"/>
          <w:szCs w:val="24"/>
        </w:rPr>
      </w:r>
    </w:p>
    <w:p w14:paraId="48E322F2" w14:textId="7362F60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</w:t>
      </w:r>
      <w:r>
        <w:rPr>
          <w:rFonts w:ascii="Arial" w:hAnsi="Arial" w:cs="Arial"/>
          <w:sz w:val="24"/>
          <w:szCs w:val="24"/>
        </w:rPr>
        <w:t xml:space="preserve">inclusão</w:t>
      </w:r>
      <w:r>
        <w:rPr>
          <w:rFonts w:ascii="Arial" w:hAnsi="Arial" w:cs="Arial"/>
          <w:sz w:val="24"/>
          <w:szCs w:val="24"/>
        </w:rPr>
        <w:t xml:space="preserve"> do devedor no Cadastro Informativo de Créditos não Quitados – CADIN Municipal ou serviços de proteção ao crédito;</w:t>
      </w:r>
      <w:r>
        <w:rPr>
          <w:rFonts w:ascii="Arial" w:hAnsi="Arial" w:cs="Arial"/>
          <w:sz w:val="24"/>
          <w:szCs w:val="24"/>
        </w:rPr>
      </w:r>
    </w:p>
    <w:p w14:paraId="4CC06D1D" w14:textId="4A1A7B3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 – </w:t>
      </w:r>
      <w:r>
        <w:rPr>
          <w:rFonts w:ascii="Arial" w:hAnsi="Arial" w:cs="Arial"/>
          <w:sz w:val="24"/>
          <w:szCs w:val="24"/>
        </w:rPr>
        <w:t xml:space="preserve">protesto</w:t>
      </w:r>
      <w:r>
        <w:rPr>
          <w:rFonts w:ascii="Arial" w:hAnsi="Arial" w:cs="Arial"/>
          <w:sz w:val="24"/>
          <w:szCs w:val="24"/>
        </w:rPr>
        <w:t xml:space="preserve"> extrajudicial da Certidão de Dívida Ativa.</w:t>
      </w:r>
      <w:r>
        <w:rPr>
          <w:rFonts w:ascii="Arial" w:hAnsi="Arial" w:cs="Arial"/>
          <w:sz w:val="24"/>
          <w:szCs w:val="24"/>
        </w:rPr>
      </w:r>
    </w:p>
    <w:p w14:paraId="60CB1E8C" w14:textId="77777777">
      <w:pPr>
        <w:pBdr/>
        <w:spacing/>
        <w:ind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</w:r>
    </w:p>
    <w:p w14:paraId="0D26CB27" w14:textId="272F6890">
      <w:pPr>
        <w:pBdr/>
        <w:spacing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único.</w:t>
      </w:r>
      <w:r>
        <w:rPr>
          <w:rFonts w:ascii="Arial" w:hAnsi="Arial" w:cs="Arial"/>
          <w:sz w:val="24"/>
          <w:szCs w:val="24"/>
        </w:rPr>
        <w:t xml:space="preserve"> A cobrança consensual constitui a forma preferencial de recuperação do crédito municipal, devendo ser estimulada em todas as fases da cobrança, com vistas à autocomposição e à prevenção de litígios.</w:t>
      </w:r>
      <w:r>
        <w:rPr>
          <w:rFonts w:ascii="Arial" w:hAnsi="Arial" w:cs="Arial"/>
          <w:sz w:val="24"/>
          <w:szCs w:val="24"/>
        </w:rPr>
      </w:r>
    </w:p>
    <w:p w14:paraId="244C53F0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3CDD94" w14:textId="6CE8AC83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23. </w:t>
      </w:r>
      <w:r>
        <w:rPr>
          <w:rFonts w:ascii="Arial" w:hAnsi="Arial" w:cs="Arial"/>
          <w:sz w:val="24"/>
          <w:szCs w:val="24"/>
        </w:rPr>
        <w:t xml:space="preserve">A cobrança da Dívida Ativa Tributária do Município será procedida:</w:t>
      </w:r>
      <w:r>
        <w:rPr>
          <w:rFonts w:ascii="Arial" w:hAnsi="Arial" w:cs="Arial"/>
          <w:sz w:val="24"/>
          <w:szCs w:val="24"/>
        </w:rPr>
      </w:r>
    </w:p>
    <w:p w14:paraId="7D0D43DD" w14:textId="6F67CC28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b/>
          <w:bCs/>
          <w:sz w:val="24"/>
          <w:szCs w:val="24"/>
        </w:rPr>
        <w:t xml:space="preserve">por</w:t>
      </w:r>
      <w:r>
        <w:rPr>
          <w:rFonts w:ascii="Arial" w:hAnsi="Arial" w:cs="Arial"/>
          <w:b/>
          <w:bCs/>
          <w:sz w:val="24"/>
          <w:szCs w:val="24"/>
        </w:rPr>
        <w:t xml:space="preserve"> via extrajudicial</w:t>
      </w:r>
      <w:r>
        <w:rPr>
          <w:rFonts w:ascii="Arial" w:hAnsi="Arial" w:cs="Arial"/>
          <w:sz w:val="24"/>
          <w:szCs w:val="24"/>
        </w:rPr>
        <w:t xml:space="preserve">, quando processada pelos órgãos administrativos da municipalidade, incluindo-se todas as formas de cobrança administrativa, especialmente a conciliação e os acordos realizados pela Câmara de Conciliação e o protesto </w:t>
      </w:r>
      <w:r>
        <w:rPr>
          <w:rFonts w:ascii="Arial" w:hAnsi="Arial" w:cs="Arial"/>
          <w:sz w:val="24"/>
          <w:szCs w:val="24"/>
        </w:rPr>
        <w:t xml:space="preserve">extrajudicial das certidões de dívida ativa, o qual pode ser feito mediante convênio com Tabelionatos;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b/>
          <w:bCs/>
          <w:sz w:val="24"/>
          <w:szCs w:val="24"/>
        </w:rPr>
        <w:t xml:space="preserve">por via judicial</w:t>
      </w:r>
      <w:r>
        <w:rPr>
          <w:rFonts w:ascii="Arial" w:hAnsi="Arial" w:cs="Arial"/>
          <w:sz w:val="24"/>
          <w:szCs w:val="24"/>
        </w:rPr>
        <w:t xml:space="preserve">, após o início do procedimento de execução fiscal, nos termos da Lei Federal nº 6.830, de 22 de setembro de 1980.</w:t>
      </w:r>
      <w:r>
        <w:rPr>
          <w:rFonts w:ascii="Arial" w:hAnsi="Arial" w:cs="Arial"/>
          <w:sz w:val="24"/>
          <w:szCs w:val="24"/>
        </w:rPr>
      </w:r>
    </w:p>
    <w:p w14:paraId="00F171F8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9ADF429" w14:textId="0F5A616E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24.  </w:t>
      </w:r>
      <w:r>
        <w:rPr>
          <w:rFonts w:ascii="Arial" w:hAnsi="Arial" w:cs="Arial"/>
          <w:sz w:val="24"/>
          <w:szCs w:val="24"/>
        </w:rPr>
        <w:t xml:space="preserve">Frustrado o recebimento do crédito pela via administrativa, a Certidão de Dívida Ativa será utilizada para o ajuizamento da execução fiscal, observadas as disposições da Lei Federal nº 6.830/80.</w:t>
      </w:r>
      <w:r>
        <w:rPr>
          <w:rFonts w:ascii="Arial" w:hAnsi="Arial" w:cs="Arial"/>
          <w:sz w:val="24"/>
          <w:szCs w:val="24"/>
        </w:rPr>
      </w:r>
    </w:p>
    <w:p w14:paraId="317CA429" w14:textId="77777777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B280FA" w14:textId="731935C4">
      <w:pPr>
        <w:pBdr/>
        <w:spacing/>
        <w:ind/>
        <w:rPr/>
      </w:pPr>
      <w:r>
        <w:rPr>
          <w:rFonts w:ascii="Arial" w:hAnsi="Arial" w:cs="Arial"/>
          <w:b/>
          <w:bCs/>
          <w:sz w:val="24"/>
          <w:szCs w:val="24"/>
        </w:rPr>
        <w:tab/>
        <w:t xml:space="preserve">Art. 25. </w:t>
      </w:r>
      <w:r>
        <w:rPr>
          <w:rFonts w:ascii="Arial" w:hAnsi="Arial" w:cs="Arial"/>
          <w:sz w:val="24"/>
          <w:szCs w:val="24"/>
        </w:rPr>
        <w:t xml:space="preserve">Esta lei complementar entra em vigor na data de sua publicação, revogadas as disposições em contrário.</w:t>
      </w:r>
      <w:r/>
    </w:p>
    <w:p w14:paraId="7CCCE6B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8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5BBD1E87" w14:textId="77777777">
      <w:pPr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5993F2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F611C08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72721A7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CB8D05D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F609E6A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E268937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09E852FD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uiPriority w:val="22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14</cp:revision>
  <dcterms:created xsi:type="dcterms:W3CDTF">2026-03-13T13:31:00Z</dcterms:created>
  <dcterms:modified xsi:type="dcterms:W3CDTF">2026-03-13T20:23:03Z</dcterms:modified>
</cp:coreProperties>
</file>