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270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Instalação de Cobertura em Pontos de Ônibus sem abrigo, garantindo proteção contra sol e chuva aos usuários.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/>
      <w:r>
        <w:rPr>
          <w:rFonts w:ascii="Arial" w:hAnsi="Arial" w:cs="Arial"/>
          <w:sz w:val="24"/>
          <w:szCs w:val="24"/>
        </w:rPr>
      </w:r>
    </w:p>
    <w:p w14:paraId="04E4BC64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8A7557D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6B4F3C3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20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9D8AC99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A ausência de cobertura gera desconforto significativo, podendo ocasionar problemas de saúde decorrentes da exposição prolongada ao calor excessivo e à chuva, além de comprometer a dignidade e o bem-estar dos usuários. Em dias chuvosos, a situação se agrav</w:t>
      </w:r>
      <w:r>
        <w:rPr>
          <w:rFonts w:ascii="Arial" w:hAnsi="Arial" w:eastAsia="Arial" w:cs="Arial"/>
          <w:sz w:val="24"/>
          <w:szCs w:val="24"/>
        </w:rPr>
        <w:t xml:space="preserve">a, dificultando a permanência no local e prejudicando o acesso adequado ao transporte.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2026-03-20T14:11:28Z</dcterms:modified>
</cp:coreProperties>
</file>