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PROJETO DE LEI 24 / 2026</w:t>
      </w:r>
      <w:r>
        <w:rPr>
          <w:rFonts w:ascii="Arial" w:hAnsi="Arial" w:cs="Arial"/>
          <w:sz w:val="24"/>
          <w:szCs w:val="24"/>
        </w:rPr>
      </w:r>
      <w:r/>
    </w:p>
    <w:p w14:paraId="6E9408B4">
      <w:pPr>
        <w:pBdr/>
        <w:spacing/>
        <w:ind/>
        <w:jc w:val="center"/>
        <w:rPr/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 criação do Programa Municipal de Prevenção e Enfrentamento da Gravidez Precoce no Município de Franco da Rocha e dá outras providências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53C1C0D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1º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Fica instituído, no âmbito do Município de Franco da Rocha, o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Programa Municipal de Prevenção e Enfrentamento da Gravidez Precoce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com a finalidade de reduzir os índices de gravidez na adolescência e promover ações de orientação, prevenção, acolhimento e apoio às adolescentes gestantes e mães jovens.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CF578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2C6889E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2º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São objetivos do Programa: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C1C63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– prevenir a gravidez precoce por meio de ações educativas e informativas;</w:t>
        <w:br/>
        <w:t xml:space="preserve"> </w:t>
        <w:tab/>
        <w:t xml:space="preserve">II – promover a saúde sexual e reprodutiva de adolescentes e jovens;</w:t>
        <w:br/>
        <w:tab/>
        <w:t xml:space="preserve">III – reduzir a evasão escolar decorrente da gravidez precoce;</w:t>
        <w:br/>
        <w:t xml:space="preserve"> </w:t>
        <w:tab/>
        <w:t xml:space="preserve">IV – garantir atendimento humanizado às adol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escentes gestantes;</w:t>
        <w:br/>
        <w:tab/>
        <w:t xml:space="preserve">V – fortalecer o apoio familiar, social e comunitário;</w:t>
        <w:br/>
        <w:t xml:space="preserve"> </w:t>
        <w:tab/>
        <w:t xml:space="preserve">VI – promover a inclusão social e o acesso a políticas públicas.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61FF2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7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AF409CD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3º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 Programa será executado de forma integrada pelas Secretarias Municipais de: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E5CD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 – Saúde;</w:t>
        <w:br/>
        <w:tab/>
        <w:t xml:space="preserve">II – Educação;</w:t>
        <w:br/>
        <w:tab/>
        <w:t xml:space="preserve">III – Assistência e Desenvolvimento Social;</w:t>
        <w:br/>
        <w:tab/>
        <w:t xml:space="preserve">IV – Juventude ou órgão equivalente, quando houver.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E54EB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A96565A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4º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Constituem ações do Programa: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14EC4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– realização de palestras, campanhas educativas e atividades de conscientização nas escolas municipais;</w:t>
        <w:br/>
        <w:tab/>
        <w:t xml:space="preserve">II – orientação sobre planejamento familiar e métodos contraceptivos, respeitando os princípios éticos, legais e familiares;</w:t>
        <w:br/>
        <w:t xml:space="preserve"> </w:t>
        <w:tab/>
        <w:t xml:space="preserve">III – capacitação de pr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ofissionais da saúde, educação e assistência social;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F74B1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IV – acompanhamento psicológico e social às adolescentes gestantes e suas famílias;</w:t>
        <w:br/>
        <w:t xml:space="preserve"> </w:t>
        <w:tab/>
        <w:t xml:space="preserve">V – atendimento prioritário e humanizado nas unidades de saúde do município;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55396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VI – ações que incentivem a permanência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 o retorno das adolescentes à escola;</w:t>
        <w:br/>
        <w:t xml:space="preserve"> </w:t>
        <w:tab/>
        <w:t xml:space="preserve">VII – encaminhamento a programas e benefícios sociais, quando necessário.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27298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175E6B4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5º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 Município poderá firmar 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</w:rPr>
        <w:t xml:space="preserve">parcerias com instituições públicas, privadas e organizações da sociedade civil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visando à ampliação e ao fortalecimento das ações previstas nesta Lei.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EAF05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E12146A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6º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As adolescentes gestantes e mães jovens terão prioridade no acesso a: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170E94E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I – acompanhamento pré-natal e pós-parto;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1FB4C28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II – serviços de assistência social;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56ABB60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III – programas educacionais que garantam a continuidade dos estudos.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DAECC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A586973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7º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As despesas decorrentes da execução desta Lei correrão por conta de dotações orçamentárias próprias, suplementadas, se necessário.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B439A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41A9CDF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8º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 Poder Executivo regulamentará esta Lei no prazo de até 90 (noventa) dias, contados da data de sua publicação.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AC33C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DE800D8">
      <w:pPr>
        <w:pStyle w:val="9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left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9º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Esta Lei entra em vigor na data de sua publicação, revogadas as disposições em contrário.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p>
      <w:pPr>
        <w:pStyle w:val="1009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9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9"/>
        <w:pBdr/>
        <w:spacing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9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COSTA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BE3E4D3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1E3884A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8E3AB61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DEFE34D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3C50F5F"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Cs w:val="0"/>
          <w:i w:val="0"/>
          <w:sz w:val="24"/>
          <w:szCs w:val="24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 w14:paraId="05E0D057">
      <w:pPr>
        <w:pStyle w:val="97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eastAsia="Arial" w:cs="Arial"/>
          <w:b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i w:val="0"/>
          <w:iCs w:val="0"/>
          <w:color w:val="000000"/>
          <w:sz w:val="24"/>
          <w:szCs w:val="24"/>
        </w:rPr>
        <w:t xml:space="preserve">JUSTIFICATIVA</w:t>
      </w:r>
      <w:r>
        <w:rPr>
          <w:rFonts w:ascii="Arial" w:hAnsi="Arial" w:eastAsia="Arial" w:cs="Arial"/>
          <w:b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 w:val="0"/>
          <w:i w:val="0"/>
          <w:color w:val="000000"/>
          <w:sz w:val="24"/>
          <w:szCs w:val="24"/>
          <w:highlight w:val="none"/>
        </w:rPr>
      </w:r>
    </w:p>
    <w:p w14:paraId="3AB0E07E">
      <w:pPr>
        <w:pBdr/>
        <w:spacing/>
        <w:ind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A1469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 presente Projeto de Lei tem por objetivo instituir o Programa Municipal de Prevenção e Enfrentamento da Gravidez Precoce no Município de Franco da Rocha, com foco na promoção da informação, da educação e do acompanhamento adequado de adolescentes, fortal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ecendo políticas públicas já existentes e ampliando ações preventivas no âmbito municipal.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54F84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E669C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gravidez na adolescência é uma realidade que impacta diretamente a vida de jovens, suas famílias e toda a sociedade. Além das implicações na saúde física e emocional das adolescentes, muitas vezes acarreta evasão escolar, redução de oportunidades profiss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ionais e aumento da vulnerabilidade social. Trata-se de uma questão que exige atuação integrada do Poder Público, envolvendo as áreas da saúde, educação e assistência social.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A15EB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9F7A7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Dados nacionais apontam que a gravidez precoce ainda representa desafio significativo para a gestão pública, especialmente em municípios de médio porte. Nesse contexto, é fundamental que Franco da Rocha avance na implementação de políticas preventivas perm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anentes, com ações educativas nas escolas, campanhas de conscientização, orientação às famílias e ampliação do acesso a serviços de saúde voltados à juventude.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588EE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01E8A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 programa proposto visa: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C975A32">
      <w:pPr>
        <w:pStyle w:val="93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Promover ações educativas contínuas nas unidades escolares da rede municipal;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565D1BE">
      <w:pPr>
        <w:pStyle w:val="93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Fortalecer a atuação das Unidades Básicas de Saúde no atendimento e orientação de adolescentes;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BE93A8D">
      <w:pPr>
        <w:pStyle w:val="93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Desenvolver campanhas informativas sobre saúde sexual e reprodutiva;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7EF9A5C">
      <w:pPr>
        <w:pStyle w:val="93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Incentivar o diálogo entre família, escola e poder público;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F2335B9">
      <w:pPr>
        <w:pStyle w:val="935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Oferecer acompanhamento multidisciplinar às adolescentes gestantes, garantindo acolhimento e suporte adequado.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B0BF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27AF4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iniciativa não cria apenas uma política de prevenção, mas também estrutura uma rede de apoio para enfrentar as consequências sociais e econômicas decorrentes da gravidez precoce, promovendo dignidade, informação e oportunidades para nossos jovens.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CE638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8C557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Investir na prevenção é investir no futuro. Ao instituir o Programa Municipal de Prevenção e Enfrentamento da Gravidez Precoce, o Município reafirma seu compromisso com a juventude, com a educação e com o desenvolvimento social, promovendo políticas públic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as responsáveis, humanas e eficazes.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747D10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0F5E3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1418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Diante do exposto, conto com o apoio dos nobres Vereadores para a aprovação do presente Projeto de Lei, por se tratar de matéria de relevante interesse público e social.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3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6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6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00637C0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7">
    <w:name w:val="Table Grid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3">
    <w:name w:val="Heading 4"/>
    <w:basedOn w:val="968"/>
    <w:next w:val="968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4">
    <w:name w:val="Heading 8"/>
    <w:basedOn w:val="968"/>
    <w:next w:val="968"/>
    <w:link w:val="9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Heading 9"/>
    <w:basedOn w:val="968"/>
    <w:next w:val="968"/>
    <w:link w:val="9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6">
    <w:name w:val="Heading 1 Char"/>
    <w:basedOn w:val="975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7">
    <w:name w:val="Heading 3 Char"/>
    <w:basedOn w:val="975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8">
    <w:name w:val="Heading 4 Char"/>
    <w:basedOn w:val="975"/>
    <w:link w:val="9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9">
    <w:name w:val="Heading 5 Char"/>
    <w:basedOn w:val="975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0">
    <w:name w:val="Heading 6 Char"/>
    <w:basedOn w:val="975"/>
    <w:link w:val="9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>
    <w:name w:val="Heading 8 Char"/>
    <w:basedOn w:val="975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>
    <w:name w:val="Heading 9 Char"/>
    <w:basedOn w:val="975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3">
    <w:name w:val="Quote"/>
    <w:basedOn w:val="968"/>
    <w:next w:val="968"/>
    <w:link w:val="93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4">
    <w:name w:val="Quote Char"/>
    <w:basedOn w:val="975"/>
    <w:link w:val="93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5">
    <w:name w:val="List Paragraph"/>
    <w:basedOn w:val="968"/>
    <w:uiPriority w:val="34"/>
    <w:qFormat/>
    <w:pPr>
      <w:pBdr/>
      <w:spacing/>
      <w:ind w:left="720"/>
      <w:contextualSpacing w:val="true"/>
    </w:pPr>
  </w:style>
  <w:style w:type="character" w:styleId="936">
    <w:name w:val="Intense Emphasis"/>
    <w:basedOn w:val="9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7">
    <w:name w:val="Intense Quote"/>
    <w:basedOn w:val="968"/>
    <w:next w:val="968"/>
    <w:link w:val="93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8">
    <w:name w:val="Intense Quote Char"/>
    <w:basedOn w:val="975"/>
    <w:link w:val="93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9">
    <w:name w:val="Intense Reference"/>
    <w:basedOn w:val="9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0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41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943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944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5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6">
    <w:name w:val="Header Char"/>
    <w:basedOn w:val="975"/>
    <w:link w:val="993"/>
    <w:uiPriority w:val="99"/>
    <w:pPr>
      <w:pBdr/>
      <w:spacing/>
      <w:ind/>
    </w:pPr>
  </w:style>
  <w:style w:type="character" w:styleId="947">
    <w:name w:val="Footer Char"/>
    <w:basedOn w:val="975"/>
    <w:link w:val="994"/>
    <w:uiPriority w:val="99"/>
    <w:pPr>
      <w:pBdr/>
      <w:spacing/>
      <w:ind/>
    </w:pPr>
  </w:style>
  <w:style w:type="paragraph" w:styleId="94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9">
    <w:name w:val="footnote text"/>
    <w:basedOn w:val="968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Footnote Text Char"/>
    <w:basedOn w:val="975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footnote reference"/>
    <w:basedOn w:val="975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968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Endnote Text Char"/>
    <w:basedOn w:val="975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endnote reference"/>
    <w:basedOn w:val="975"/>
    <w:uiPriority w:val="99"/>
    <w:semiHidden/>
    <w:unhideWhenUsed/>
    <w:pPr>
      <w:pBdr/>
      <w:spacing/>
      <w:ind/>
    </w:pPr>
    <w:rPr>
      <w:vertAlign w:val="superscript"/>
    </w:rPr>
  </w:style>
  <w:style w:type="character" w:styleId="955">
    <w:name w:val="FollowedHyperlink"/>
    <w:basedOn w:val="9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6">
    <w:name w:val="toc 1"/>
    <w:basedOn w:val="968"/>
    <w:next w:val="968"/>
    <w:uiPriority w:val="39"/>
    <w:unhideWhenUsed/>
    <w:pPr>
      <w:pBdr/>
      <w:spacing w:after="100"/>
      <w:ind/>
    </w:pPr>
  </w:style>
  <w:style w:type="paragraph" w:styleId="957">
    <w:name w:val="toc 2"/>
    <w:basedOn w:val="968"/>
    <w:next w:val="968"/>
    <w:uiPriority w:val="39"/>
    <w:unhideWhenUsed/>
    <w:pPr>
      <w:pBdr/>
      <w:spacing w:after="100"/>
      <w:ind w:left="220"/>
    </w:pPr>
  </w:style>
  <w:style w:type="paragraph" w:styleId="958">
    <w:name w:val="toc 3"/>
    <w:basedOn w:val="968"/>
    <w:next w:val="968"/>
    <w:uiPriority w:val="39"/>
    <w:unhideWhenUsed/>
    <w:pPr>
      <w:pBdr/>
      <w:spacing w:after="100"/>
      <w:ind w:left="440"/>
    </w:pPr>
  </w:style>
  <w:style w:type="paragraph" w:styleId="959">
    <w:name w:val="toc 4"/>
    <w:basedOn w:val="968"/>
    <w:next w:val="968"/>
    <w:uiPriority w:val="39"/>
    <w:unhideWhenUsed/>
    <w:pPr>
      <w:pBdr/>
      <w:spacing w:after="100"/>
      <w:ind w:left="660"/>
    </w:pPr>
  </w:style>
  <w:style w:type="paragraph" w:styleId="960">
    <w:name w:val="toc 5"/>
    <w:basedOn w:val="968"/>
    <w:next w:val="968"/>
    <w:uiPriority w:val="39"/>
    <w:unhideWhenUsed/>
    <w:pPr>
      <w:pBdr/>
      <w:spacing w:after="100"/>
      <w:ind w:left="880"/>
    </w:pPr>
  </w:style>
  <w:style w:type="paragraph" w:styleId="961">
    <w:name w:val="toc 6"/>
    <w:basedOn w:val="968"/>
    <w:next w:val="968"/>
    <w:uiPriority w:val="39"/>
    <w:unhideWhenUsed/>
    <w:pPr>
      <w:pBdr/>
      <w:spacing w:after="100"/>
      <w:ind w:left="1100"/>
    </w:pPr>
  </w:style>
  <w:style w:type="paragraph" w:styleId="962">
    <w:name w:val="toc 7"/>
    <w:basedOn w:val="968"/>
    <w:next w:val="968"/>
    <w:uiPriority w:val="39"/>
    <w:unhideWhenUsed/>
    <w:pPr>
      <w:pBdr/>
      <w:spacing w:after="100"/>
      <w:ind w:left="1320"/>
    </w:pPr>
  </w:style>
  <w:style w:type="paragraph" w:styleId="963">
    <w:name w:val="toc 8"/>
    <w:basedOn w:val="968"/>
    <w:next w:val="968"/>
    <w:uiPriority w:val="39"/>
    <w:unhideWhenUsed/>
    <w:pPr>
      <w:pBdr/>
      <w:spacing w:after="100"/>
      <w:ind w:left="1540"/>
    </w:pPr>
  </w:style>
  <w:style w:type="paragraph" w:styleId="964">
    <w:name w:val="toc 9"/>
    <w:basedOn w:val="968"/>
    <w:next w:val="968"/>
    <w:uiPriority w:val="39"/>
    <w:unhideWhenUsed/>
    <w:pPr>
      <w:pBdr/>
      <w:spacing w:after="100"/>
      <w:ind w:left="1760"/>
    </w:pPr>
  </w:style>
  <w:style w:type="character" w:styleId="965">
    <w:name w:val="Placeholder Text"/>
    <w:basedOn w:val="975"/>
    <w:uiPriority w:val="99"/>
    <w:semiHidden/>
    <w:pPr>
      <w:pBdr/>
      <w:spacing/>
      <w:ind/>
    </w:pPr>
    <w:rPr>
      <w:color w:val="666666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9">
    <w:name w:val="Heading 1"/>
    <w:basedOn w:val="968"/>
    <w:next w:val="968"/>
    <w:qFormat/>
    <w:pPr>
      <w:keepNext w:val="true"/>
      <w:pBdr/>
      <w:spacing/>
      <w:ind/>
      <w:outlineLvl w:val="0"/>
    </w:pPr>
    <w:rPr>
      <w:b/>
    </w:rPr>
  </w:style>
  <w:style w:type="paragraph" w:styleId="970">
    <w:name w:val="Heading 2"/>
    <w:basedOn w:val="968"/>
    <w:next w:val="968"/>
    <w:link w:val="996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1">
    <w:name w:val="Heading 3"/>
    <w:basedOn w:val="968"/>
    <w:next w:val="968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2">
    <w:name w:val="Heading 5"/>
    <w:basedOn w:val="968"/>
    <w:next w:val="968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3">
    <w:name w:val="Heading 6"/>
    <w:basedOn w:val="968"/>
    <w:next w:val="968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4">
    <w:name w:val="Heading 7"/>
    <w:basedOn w:val="968"/>
    <w:next w:val="968"/>
    <w:link w:val="998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5" w:default="1">
    <w:name w:val="Default Paragraph Font"/>
    <w:semiHidden/>
    <w:pPr>
      <w:pBdr/>
      <w:spacing/>
      <w:ind/>
    </w:pPr>
  </w:style>
  <w:style w:type="table" w:styleId="976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7" w:default="1">
    <w:name w:val="No List"/>
    <w:semiHidden/>
    <w:pPr>
      <w:pBdr/>
      <w:spacing/>
      <w:ind/>
    </w:pPr>
  </w:style>
  <w:style w:type="character" w:styleId="978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9" w:customStyle="1">
    <w:name w:val="Absatz-Standardschriftart"/>
    <w:pPr>
      <w:pBdr/>
      <w:spacing/>
      <w:ind/>
    </w:pPr>
  </w:style>
  <w:style w:type="character" w:styleId="980" w:customStyle="1">
    <w:name w:val="WW-Absatz-Standardschriftart"/>
    <w:pPr>
      <w:pBdr/>
      <w:spacing/>
      <w:ind/>
    </w:pPr>
  </w:style>
  <w:style w:type="character" w:styleId="981" w:customStyle="1">
    <w:name w:val="WW-Absatz-Standardschriftart1"/>
    <w:pPr>
      <w:pBdr/>
      <w:spacing/>
      <w:ind/>
    </w:pPr>
  </w:style>
  <w:style w:type="character" w:styleId="982" w:customStyle="1">
    <w:name w:val="WW-Absatz-Standardschriftart11"/>
    <w:pPr>
      <w:pBdr/>
      <w:spacing/>
      <w:ind/>
    </w:pPr>
  </w:style>
  <w:style w:type="character" w:styleId="983" w:customStyle="1">
    <w:name w:val="WW-Absatz-Standardschriftart111"/>
    <w:pPr>
      <w:pBdr/>
      <w:spacing/>
      <w:ind/>
    </w:pPr>
  </w:style>
  <w:style w:type="character" w:styleId="984" w:customStyle="1">
    <w:name w:val="WW-Absatz-Standardschriftart1111"/>
    <w:pPr>
      <w:pBdr/>
      <w:spacing/>
      <w:ind/>
    </w:pPr>
  </w:style>
  <w:style w:type="character" w:styleId="985" w:customStyle="1">
    <w:name w:val="Fonte parág. padrão1"/>
    <w:pPr>
      <w:pBdr/>
      <w:spacing/>
      <w:ind/>
    </w:pPr>
  </w:style>
  <w:style w:type="character" w:styleId="986">
    <w:name w:val="Hyperlink"/>
    <w:pPr>
      <w:pBdr/>
      <w:spacing/>
      <w:ind/>
    </w:pPr>
    <w:rPr>
      <w:color w:val="0000ff"/>
      <w:u w:val="single"/>
    </w:rPr>
  </w:style>
  <w:style w:type="character" w:styleId="987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8">
    <w:name w:val="Body Text"/>
    <w:basedOn w:val="96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9">
    <w:name w:val="List"/>
    <w:basedOn w:val="988"/>
    <w:pPr>
      <w:pBdr/>
      <w:spacing/>
      <w:ind/>
    </w:pPr>
    <w:rPr>
      <w:rFonts w:cs="Tahoma"/>
    </w:rPr>
  </w:style>
  <w:style w:type="paragraph" w:styleId="990" w:customStyle="1">
    <w:name w:val="Legenda1"/>
    <w:basedOn w:val="968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1" w:customStyle="1">
    <w:name w:val="Índice"/>
    <w:basedOn w:val="968"/>
    <w:pPr>
      <w:suppressLineNumbers w:val="true"/>
      <w:pBdr/>
      <w:spacing/>
      <w:ind/>
    </w:pPr>
    <w:rPr>
      <w:rFonts w:cs="Tahoma"/>
    </w:rPr>
  </w:style>
  <w:style w:type="paragraph" w:styleId="992" w:customStyle="1">
    <w:name w:val="Título1"/>
    <w:basedOn w:val="968"/>
    <w:next w:val="98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3">
    <w:name w:val="Header"/>
    <w:basedOn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4">
    <w:name w:val="Footer"/>
    <w:basedOn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5" w:customStyle="1">
    <w:name w:val="Corpo de texto 21"/>
    <w:basedOn w:val="968"/>
    <w:pPr>
      <w:pBdr/>
      <w:spacing/>
      <w:ind/>
    </w:pPr>
    <w:rPr>
      <w:rFonts w:ascii="Tahoma" w:hAnsi="Tahoma" w:cs="Tahoma"/>
      <w:sz w:val="28"/>
    </w:rPr>
  </w:style>
  <w:style w:type="character" w:styleId="996" w:customStyle="1">
    <w:name w:val="Heading 2 Char"/>
    <w:link w:val="970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7">
    <w:name w:val="Normal (Web)"/>
    <w:basedOn w:val="968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8" w:customStyle="1">
    <w:name w:val="Heading 7 Char"/>
    <w:link w:val="974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9">
    <w:name w:val="Body Text Indent"/>
    <w:basedOn w:val="968"/>
    <w:link w:val="1000"/>
    <w:pPr>
      <w:pBdr/>
      <w:spacing w:after="120"/>
      <w:ind w:left="283"/>
    </w:pPr>
  </w:style>
  <w:style w:type="character" w:styleId="1000" w:customStyle="1">
    <w:name w:val="Body Text Indent Char"/>
    <w:link w:val="999"/>
    <w:pPr>
      <w:pBdr/>
      <w:spacing/>
      <w:ind/>
    </w:pPr>
    <w:rPr>
      <w:rFonts w:ascii="Garamond" w:hAnsi="Garamond"/>
      <w:sz w:val="26"/>
      <w:lang w:eastAsia="ar-SA"/>
    </w:rPr>
  </w:style>
  <w:style w:type="paragraph" w:styleId="1001">
    <w:name w:val="Title"/>
    <w:basedOn w:val="968"/>
    <w:next w:val="1003"/>
    <w:link w:val="1002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2" w:customStyle="1">
    <w:name w:val="Title Char"/>
    <w:link w:val="1001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3">
    <w:name w:val="Subtitle"/>
    <w:basedOn w:val="968"/>
    <w:next w:val="968"/>
    <w:link w:val="1004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4" w:customStyle="1">
    <w:name w:val="Subtitle Char"/>
    <w:link w:val="1003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5">
    <w:name w:val="Balloon Text"/>
    <w:basedOn w:val="968"/>
    <w:link w:val="1006"/>
    <w:pPr>
      <w:pBdr/>
      <w:spacing/>
      <w:ind/>
    </w:pPr>
    <w:rPr>
      <w:rFonts w:ascii="Tahoma" w:hAnsi="Tahoma" w:cs="Tahoma"/>
      <w:sz w:val="16"/>
      <w:szCs w:val="16"/>
    </w:rPr>
  </w:style>
  <w:style w:type="character" w:styleId="1006" w:customStyle="1">
    <w:name w:val="Balloon Text Char"/>
    <w:link w:val="1005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7" w:customStyle="1">
    <w:name w:val="lz_message_text"/>
    <w:pPr>
      <w:pBdr/>
      <w:spacing/>
      <w:ind/>
    </w:pPr>
  </w:style>
  <w:style w:type="character" w:styleId="1008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9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0" w:customStyle="1">
    <w:name w:val="docdata"/>
    <w:basedOn w:val="968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2026-02-02T14:12:00Z</dcterms:created>
  <dcterms:modified xsi:type="dcterms:W3CDTF">2026-03-23T19:16:54Z</dcterms:modified>
</cp:coreProperties>
</file>