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316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AC785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b/>
          <w:bCs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none"/>
        </w:rPr>
        <w:t xml:space="preserve">recapeamento na Rua Luiz Rocha, em toda sua extensão, no Jardim Luciana, em Franco da Rocha</w:t>
      </w:r>
      <w:r>
        <w:rPr>
          <w:b/>
          <w:bCs/>
          <w:sz w:val="24"/>
          <w:szCs w:val="24"/>
        </w:rPr>
      </w:r>
    </w:p>
    <w:p w14:paraId="1616076E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sz w:val="24"/>
        </w:rPr>
      </w:r>
      <w:r/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C1898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5751F2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CFFD4A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EBBDA96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75C6B0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FC7B4AC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6B14A7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755C93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AF8D839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5CE4924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084873A"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4342E16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82A69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A presente indicação fundamenta-se na necessidade de recuperação da malha viária da Rua Luiz Rocha, localizada no bairro Jardim Luciana, que apresenta significativo estado de deterioração do revestimento asfáltico, com ocorrência de  trincas, fissuras, des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gaste superficial e pontos de afundamento.</w:t>
      </w:r>
      <w:r>
        <w:rPr>
          <w:sz w:val="24"/>
          <w:szCs w:val="24"/>
        </w:rPr>
      </w:r>
    </w:p>
    <w:p w14:paraId="5DB278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Tais inconformidades comprometem a regularidade e a aderência do pavimento, impactando diretamente as condições de trafegabilidade e segurança viária, tanto para veículos quanto para pedestres, além de potencializar o risco de acidentes e avarias mecânicas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.</w:t>
      </w:r>
      <w:r>
        <w:rPr>
          <w:sz w:val="24"/>
          <w:szCs w:val="24"/>
        </w:rPr>
      </w:r>
    </w:p>
    <w:p w14:paraId="102E59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Diante do exposto, justifica-se a realização de estudos técnicos e posterior execução do recapeamento, visando à melhoria da infraestrutura urbana e ao atendimento das demandas da população local.</w:t>
      </w:r>
      <w:r>
        <w:rPr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sz w:val="24"/>
        </w:rPr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ERIC CLAPTON VALINI</cp:lastModifiedBy>
  <cp:revision>5</cp:revision>
  <dcterms:created xsi:type="dcterms:W3CDTF">2026-02-03T12:14:00Z</dcterms:created>
  <dcterms:modified xsi:type="dcterms:W3CDTF">2026-03-24T13:34:42Z</dcterms:modified>
</cp:coreProperties>
</file>