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81 / 2026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Verdana" w:hAnsi="Verdana" w:eastAsia="Verdana" w:cs="Verdana"/>
          <w:b/>
          <w:i/>
          <w:color w:val="000000"/>
          <w:sz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 na entrada da Avenida Alfredo de Paula, seguindo a Rua Ataíde Rocha Prado e até a Rua Conceição da Silva, no Bairro Vila dos Comerciários.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05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84E82E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D11A5D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Via encontra-se intransitável (com vários buracos em toda via), causando prejuízos aos motoristas e moradores da região.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2026-02-10T17:52:06Z</dcterms:modified>
</cp:coreProperties>
</file>