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361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  <w:t xml:space="preserve">Recapeamento Asfáltico na Rua </w:t>
      </w:r>
      <w:r>
        <w:rPr>
          <w:rFonts w:ascii="Arial" w:hAnsi="Arial" w:cs="Arial"/>
          <w:sz w:val="24"/>
          <w:szCs w:val="24"/>
        </w:rPr>
        <w:t xml:space="preserve"> das Rosas por toda sua extensão no Bairro Parque Santa Delfa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06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abril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MUNIZ TEIXEIRA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Vereador/2°Secretário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REGINALDO MUNIZ TEIXEIRA</cp:lastModifiedBy>
  <cp:revision>5</cp:revision>
  <dcterms:created xsi:type="dcterms:W3CDTF">2026-02-03T12:14:00Z</dcterms:created>
  <dcterms:modified xsi:type="dcterms:W3CDTF">2026-04-06T20:11:03Z</dcterms:modified>
</cp:coreProperties>
</file>