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405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 na Avenida Arco Íris no trecho compreendido entre a Rua Carlos Roberto Gouveia, até a embocadura com a Rua Dinamarca, no Bairro lago Azul.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via pública encontra-se em péssimas condições, dificultando o tráfego de veículos, e a circulação de moradores, ocasionando, portanto, não apenas prejuízos materiais como também risco a integridade física de quem por lá necessita transitar.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2026-04-15T11:57:00Z</dcterms:modified>
</cp:coreProperties>
</file>